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02191" w14:textId="353995DD" w:rsidR="00F963B7" w:rsidRDefault="00F963B7" w:rsidP="00F963B7">
      <w:pPr>
        <w:pStyle w:val="CRCoverPage"/>
        <w:rPr>
          <w:rFonts w:cs="Arial"/>
          <w:b/>
          <w:bCs/>
          <w:sz w:val="24"/>
          <w:szCs w:val="24"/>
        </w:rPr>
      </w:pPr>
      <w:r>
        <w:rPr>
          <w:rFonts w:cs="Arial"/>
          <w:b/>
          <w:bCs/>
          <w:sz w:val="24"/>
          <w:szCs w:val="24"/>
        </w:rPr>
        <w:t>3GPP TSG-RAN WG2 Meeting #129bis</w:t>
      </w:r>
      <w:r>
        <w:rPr>
          <w:rFonts w:cs="Arial"/>
          <w:b/>
          <w:bCs/>
          <w:sz w:val="24"/>
          <w:szCs w:val="24"/>
        </w:rPr>
        <w:tab/>
        <w:t xml:space="preserve">                           </w:t>
      </w:r>
      <w:r w:rsidR="00B53811" w:rsidRPr="00B53811">
        <w:rPr>
          <w:rFonts w:cs="Arial"/>
          <w:b/>
          <w:bCs/>
          <w:sz w:val="24"/>
          <w:szCs w:val="24"/>
        </w:rPr>
        <w:t>R2-2501983</w:t>
      </w:r>
    </w:p>
    <w:p w14:paraId="47B46528" w14:textId="6562B9AE" w:rsidR="00F963B7" w:rsidRDefault="00F963B7" w:rsidP="00F963B7">
      <w:pPr>
        <w:pStyle w:val="CRCoverPage"/>
        <w:rPr>
          <w:b/>
          <w:noProof/>
          <w:sz w:val="24"/>
        </w:rPr>
      </w:pPr>
      <w:r>
        <w:rPr>
          <w:rFonts w:cs="Arial"/>
          <w:b/>
          <w:bCs/>
          <w:sz w:val="24"/>
          <w:szCs w:val="24"/>
        </w:rPr>
        <w:t xml:space="preserve">Wuhan, China, April 7th – </w:t>
      </w:r>
      <w:r w:rsidR="008F74D7">
        <w:rPr>
          <w:rFonts w:cs="Arial"/>
          <w:b/>
          <w:bCs/>
          <w:sz w:val="24"/>
          <w:szCs w:val="24"/>
        </w:rPr>
        <w:t xml:space="preserve">April </w:t>
      </w:r>
      <w:r>
        <w:rPr>
          <w:rFonts w:cs="Arial"/>
          <w:b/>
          <w:bCs/>
          <w:sz w:val="24"/>
          <w:szCs w:val="24"/>
        </w:rPr>
        <w:t>11</w:t>
      </w:r>
      <w:r w:rsidR="008F74D7">
        <w:rPr>
          <w:rFonts w:cs="Arial"/>
          <w:b/>
          <w:bCs/>
          <w:sz w:val="24"/>
          <w:szCs w:val="24"/>
        </w:rPr>
        <w:t>th</w:t>
      </w:r>
      <w:r>
        <w:rPr>
          <w:rFonts w:cs="Arial"/>
          <w:b/>
          <w:bCs/>
          <w:sz w:val="24"/>
          <w:szCs w:val="24"/>
        </w:rPr>
        <w:t>, 2025</w:t>
      </w:r>
    </w:p>
    <w:p w14:paraId="389A1321" w14:textId="5CB7A41F" w:rsidR="00066595" w:rsidRPr="00F963B7" w:rsidRDefault="00066595" w:rsidP="00066595">
      <w:pPr>
        <w:tabs>
          <w:tab w:val="left" w:pos="1985"/>
          <w:tab w:val="right" w:pos="9639"/>
        </w:tabs>
        <w:spacing w:after="100" w:afterAutospacing="1" w:line="240" w:lineRule="auto"/>
        <w:textAlignment w:val="auto"/>
        <w:rPr>
          <w:rFonts w:ascii="Arial" w:hAnsi="Arial" w:cs="Arial"/>
          <w:b/>
          <w:noProof/>
          <w:szCs w:val="22"/>
          <w:lang w:val="en-GB" w:eastAsia="en-US"/>
        </w:rPr>
      </w:pPr>
    </w:p>
    <w:p w14:paraId="7AB853F9" w14:textId="509A0F7C" w:rsidR="00066595" w:rsidRPr="00066595" w:rsidRDefault="00066595" w:rsidP="00066595">
      <w:pPr>
        <w:tabs>
          <w:tab w:val="left" w:pos="1985"/>
        </w:tabs>
        <w:spacing w:line="240" w:lineRule="auto"/>
        <w:textAlignment w:val="auto"/>
        <w:rPr>
          <w:rFonts w:ascii="Arial" w:hAnsi="Arial" w:cs="Arial"/>
          <w:b/>
          <w:lang w:val="en-GB"/>
        </w:rPr>
      </w:pPr>
      <w:r w:rsidRPr="00066595">
        <w:rPr>
          <w:rFonts w:ascii="Arial" w:eastAsia="Times New Roman" w:hAnsi="Arial" w:cs="Arial"/>
          <w:b/>
          <w:lang w:val="en-GB" w:eastAsia="en-US"/>
        </w:rPr>
        <w:t xml:space="preserve">Source: </w:t>
      </w:r>
      <w:r w:rsidRPr="00066595">
        <w:rPr>
          <w:rFonts w:ascii="Arial" w:eastAsia="Times New Roman" w:hAnsi="Arial" w:cs="Arial"/>
          <w:b/>
          <w:lang w:val="en-GB" w:eastAsia="en-US"/>
        </w:rPr>
        <w:tab/>
      </w:r>
      <w:r w:rsidRPr="00066595">
        <w:rPr>
          <w:rFonts w:ascii="Arial" w:eastAsia="Times New Roman" w:hAnsi="Arial" w:cs="Arial"/>
          <w:lang w:val="en-GB" w:eastAsia="en-US"/>
        </w:rPr>
        <w:t>Huawei</w:t>
      </w:r>
      <w:r w:rsidRPr="00066595">
        <w:rPr>
          <w:rFonts w:ascii="Arial" w:hAnsi="Arial" w:cs="Arial"/>
          <w:lang w:val="en-GB"/>
        </w:rPr>
        <w:t>, HiSilicon</w:t>
      </w:r>
      <w:r w:rsidR="00902CF2">
        <w:rPr>
          <w:rFonts w:ascii="Arial" w:hAnsi="Arial" w:cs="Arial"/>
          <w:lang w:val="en-GB"/>
        </w:rPr>
        <w:t xml:space="preserve">, </w:t>
      </w:r>
      <w:r w:rsidR="003F4ECC">
        <w:rPr>
          <w:rFonts w:ascii="Arial" w:hAnsi="Arial" w:cs="Arial"/>
          <w:lang w:val="en-GB"/>
        </w:rPr>
        <w:t>N</w:t>
      </w:r>
      <w:r w:rsidR="003F4ECC" w:rsidRPr="003F4ECC">
        <w:rPr>
          <w:rFonts w:ascii="Arial" w:hAnsi="Arial" w:cs="Arial"/>
          <w:lang w:val="en-GB"/>
        </w:rPr>
        <w:t>ovamint</w:t>
      </w:r>
      <w:r w:rsidR="003F4ECC">
        <w:rPr>
          <w:rFonts w:ascii="Arial" w:hAnsi="Arial" w:cs="Arial"/>
          <w:lang w:val="en-GB"/>
        </w:rPr>
        <w:t>, S</w:t>
      </w:r>
      <w:r w:rsidR="003F4ECC" w:rsidRPr="003F4ECC">
        <w:rPr>
          <w:rFonts w:ascii="Arial" w:hAnsi="Arial" w:cs="Arial"/>
          <w:lang w:val="en-GB"/>
        </w:rPr>
        <w:t>ateliot</w:t>
      </w:r>
      <w:r w:rsidR="003F4ECC">
        <w:rPr>
          <w:rFonts w:ascii="Arial" w:hAnsi="Arial" w:cs="Arial"/>
          <w:lang w:val="en-GB"/>
        </w:rPr>
        <w:t>, T</w:t>
      </w:r>
      <w:r w:rsidR="003F4ECC" w:rsidRPr="003F4ECC">
        <w:rPr>
          <w:rFonts w:ascii="Arial" w:hAnsi="Arial" w:cs="Arial"/>
          <w:lang w:val="en-GB"/>
        </w:rPr>
        <w:t>hales</w:t>
      </w:r>
      <w:r w:rsidR="003F4ECC">
        <w:rPr>
          <w:rFonts w:ascii="Arial" w:hAnsi="Arial" w:cs="Arial"/>
          <w:lang w:val="en-GB"/>
        </w:rPr>
        <w:t xml:space="preserve">, </w:t>
      </w:r>
      <w:r w:rsidR="00D93C2C" w:rsidRPr="00D93C2C">
        <w:rPr>
          <w:rFonts w:ascii="Arial" w:hAnsi="Arial" w:cs="Arial"/>
          <w:lang w:val="en-GB"/>
        </w:rPr>
        <w:t>Inmarsat</w:t>
      </w:r>
      <w:r w:rsidR="00D93C2C">
        <w:rPr>
          <w:rFonts w:ascii="Arial" w:hAnsi="Arial" w:cs="Arial"/>
          <w:lang w:val="en-GB"/>
        </w:rPr>
        <w:t>,</w:t>
      </w:r>
      <w:r w:rsidR="00D93C2C" w:rsidRPr="00D93C2C">
        <w:rPr>
          <w:rFonts w:ascii="Arial" w:hAnsi="Arial" w:cs="Arial"/>
          <w:lang w:val="en-GB"/>
        </w:rPr>
        <w:t xml:space="preserve"> </w:t>
      </w:r>
      <w:r w:rsidR="00022B09" w:rsidRPr="00022B09">
        <w:rPr>
          <w:rFonts w:ascii="Arial" w:hAnsi="Arial" w:cs="Arial"/>
          <w:lang w:val="en-GB"/>
        </w:rPr>
        <w:t>Viasat</w:t>
      </w:r>
      <w:r w:rsidR="00D93C2C">
        <w:rPr>
          <w:rFonts w:ascii="Arial" w:hAnsi="Arial" w:cs="Arial"/>
          <w:lang w:val="en-GB"/>
        </w:rPr>
        <w:t xml:space="preserve">, </w:t>
      </w:r>
      <w:r w:rsidR="00D93C2C" w:rsidRPr="00D93C2C">
        <w:rPr>
          <w:rFonts w:ascii="Arial" w:hAnsi="Arial" w:cs="Arial"/>
          <w:lang w:val="en-GB"/>
        </w:rPr>
        <w:t>Turkcell</w:t>
      </w:r>
    </w:p>
    <w:p w14:paraId="0C7A66E1" w14:textId="0FD9CEC9" w:rsidR="00066595" w:rsidRPr="00066595" w:rsidRDefault="00066595" w:rsidP="00066595">
      <w:pPr>
        <w:spacing w:line="240" w:lineRule="auto"/>
        <w:ind w:left="1985" w:hanging="1985"/>
        <w:jc w:val="left"/>
        <w:textAlignment w:val="auto"/>
        <w:rPr>
          <w:rFonts w:ascii="Arial" w:hAnsi="Arial" w:cs="Arial"/>
          <w:lang w:val="en-GB"/>
        </w:rPr>
      </w:pPr>
      <w:r w:rsidRPr="00066595">
        <w:rPr>
          <w:rFonts w:ascii="Arial" w:eastAsia="Times New Roman" w:hAnsi="Arial" w:cs="Arial"/>
          <w:b/>
          <w:lang w:val="en-GB" w:eastAsia="en-US"/>
        </w:rPr>
        <w:t>Title:</w:t>
      </w:r>
      <w:r w:rsidRPr="00066595">
        <w:rPr>
          <w:rFonts w:ascii="Arial" w:eastAsia="Times New Roman" w:hAnsi="Arial" w:cs="Arial"/>
          <w:lang w:val="en-GB" w:eastAsia="en-US"/>
        </w:rPr>
        <w:t xml:space="preserve"> </w:t>
      </w:r>
      <w:r w:rsidRPr="00066595">
        <w:rPr>
          <w:rFonts w:ascii="Arial" w:eastAsia="Times New Roman" w:hAnsi="Arial" w:cs="Arial"/>
          <w:lang w:val="en-GB" w:eastAsia="en-US"/>
        </w:rPr>
        <w:tab/>
      </w:r>
      <w:r w:rsidR="00225A55">
        <w:rPr>
          <w:rFonts w:ascii="Arial" w:hAnsi="Arial" w:cs="Arial"/>
          <w:lang w:val="en-GB"/>
        </w:rPr>
        <w:t>Remaining issues</w:t>
      </w:r>
      <w:r w:rsidRPr="00066595">
        <w:rPr>
          <w:rFonts w:ascii="Arial" w:hAnsi="Arial" w:cs="Arial"/>
          <w:lang w:val="en-GB"/>
        </w:rPr>
        <w:t xml:space="preserve"> on PWS support for NB-IoT</w:t>
      </w:r>
    </w:p>
    <w:p w14:paraId="4EC97D1C" w14:textId="4F561B71" w:rsidR="00066595" w:rsidRPr="00066595" w:rsidRDefault="00066595" w:rsidP="00066595">
      <w:pPr>
        <w:tabs>
          <w:tab w:val="left" w:pos="1985"/>
        </w:tabs>
        <w:spacing w:line="240" w:lineRule="auto"/>
        <w:textAlignment w:val="auto"/>
        <w:rPr>
          <w:rFonts w:ascii="Arial" w:hAnsi="Arial" w:cs="Arial"/>
          <w:lang w:val="en-GB"/>
        </w:rPr>
      </w:pPr>
      <w:r w:rsidRPr="00066595">
        <w:rPr>
          <w:rFonts w:ascii="Arial" w:eastAsia="Times New Roman" w:hAnsi="Arial" w:cs="Arial"/>
          <w:b/>
          <w:lang w:val="en-GB" w:eastAsia="en-US"/>
        </w:rPr>
        <w:t>Agen</w:t>
      </w:r>
      <w:r w:rsidRPr="00066595">
        <w:rPr>
          <w:rFonts w:ascii="Arial" w:hAnsi="Arial" w:cs="Arial"/>
          <w:b/>
          <w:lang w:val="en-GB"/>
        </w:rPr>
        <w:t>d</w:t>
      </w:r>
      <w:r w:rsidRPr="00066595">
        <w:rPr>
          <w:rFonts w:ascii="Arial" w:eastAsia="Times New Roman" w:hAnsi="Arial" w:cs="Arial"/>
          <w:b/>
          <w:lang w:val="en-GB" w:eastAsia="en-US"/>
        </w:rPr>
        <w:t>a Item:</w:t>
      </w:r>
      <w:r w:rsidRPr="00066595">
        <w:rPr>
          <w:rFonts w:ascii="Arial" w:eastAsia="Times New Roman" w:hAnsi="Arial" w:cs="Arial"/>
          <w:lang w:val="en-GB" w:eastAsia="en-US"/>
        </w:rPr>
        <w:tab/>
        <w:t>8.</w:t>
      </w:r>
      <w:r>
        <w:rPr>
          <w:rFonts w:ascii="Arial" w:eastAsia="Times New Roman" w:hAnsi="Arial" w:cs="Arial"/>
          <w:lang w:val="en-GB" w:eastAsia="en-US"/>
        </w:rPr>
        <w:t>9</w:t>
      </w:r>
      <w:r w:rsidRPr="00066595">
        <w:rPr>
          <w:rFonts w:ascii="Arial" w:eastAsia="Times New Roman" w:hAnsi="Arial" w:cs="Arial"/>
          <w:lang w:val="en-GB" w:eastAsia="en-US"/>
        </w:rPr>
        <w:t>.4</w:t>
      </w:r>
    </w:p>
    <w:p w14:paraId="697A413A" w14:textId="3E1FFD3B" w:rsidR="00213DE8" w:rsidRPr="00066595" w:rsidRDefault="00066595" w:rsidP="00066595">
      <w:pPr>
        <w:tabs>
          <w:tab w:val="left" w:pos="1985"/>
        </w:tabs>
        <w:spacing w:line="240" w:lineRule="auto"/>
        <w:textAlignment w:val="auto"/>
        <w:rPr>
          <w:rFonts w:ascii="Arial" w:hAnsi="Arial" w:cs="Arial"/>
          <w:lang w:val="en-GB"/>
        </w:rPr>
      </w:pPr>
      <w:r w:rsidRPr="00066595">
        <w:rPr>
          <w:rFonts w:ascii="Arial" w:eastAsia="Times New Roman" w:hAnsi="Arial" w:cs="Arial"/>
          <w:b/>
          <w:lang w:val="en-GB" w:eastAsia="en-US"/>
        </w:rPr>
        <w:t>Document for:</w:t>
      </w:r>
      <w:r w:rsidRPr="00066595">
        <w:rPr>
          <w:rFonts w:ascii="Arial" w:eastAsia="Times New Roman" w:hAnsi="Arial" w:cs="Arial"/>
          <w:lang w:val="en-GB" w:eastAsia="en-US"/>
        </w:rPr>
        <w:tab/>
      </w:r>
      <w:r w:rsidRPr="00066595">
        <w:rPr>
          <w:rFonts w:ascii="Arial" w:hAnsi="Arial" w:cs="Arial"/>
          <w:lang w:val="en-GB"/>
        </w:rPr>
        <w:t>Discussion and decision</w:t>
      </w:r>
    </w:p>
    <w:p w14:paraId="1AF99BD6" w14:textId="77777777" w:rsidR="0083240D" w:rsidRPr="008E5499" w:rsidRDefault="0083240D" w:rsidP="008A74A9">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3E00C7D4" w14:textId="63E4F43D" w:rsidR="002C5E30" w:rsidRPr="00B222AE" w:rsidRDefault="00292A07" w:rsidP="00C80C78">
      <w:pPr>
        <w:spacing w:line="240" w:lineRule="auto"/>
        <w:rPr>
          <w:rFonts w:eastAsiaTheme="minorEastAsia"/>
          <w:bCs/>
          <w:szCs w:val="22"/>
        </w:rPr>
      </w:pPr>
      <w:r>
        <w:rPr>
          <w:rFonts w:eastAsiaTheme="minorEastAsia"/>
        </w:rPr>
        <w:t xml:space="preserve">The WID [1] </w:t>
      </w:r>
      <w:r w:rsidR="00C7480A">
        <w:rPr>
          <w:rFonts w:eastAsiaTheme="minorEastAsia"/>
          <w:bCs/>
          <w:szCs w:val="22"/>
        </w:rPr>
        <w:t>support</w:t>
      </w:r>
      <w:r w:rsidR="001E7D60">
        <w:rPr>
          <w:rFonts w:eastAsiaTheme="minorEastAsia"/>
          <w:bCs/>
          <w:szCs w:val="22"/>
        </w:rPr>
        <w:t xml:space="preserve">s </w:t>
      </w:r>
      <w:r w:rsidR="003E33C5">
        <w:rPr>
          <w:rFonts w:eastAsiaTheme="minorEastAsia"/>
          <w:bCs/>
          <w:szCs w:val="22"/>
        </w:rPr>
        <w:t>PWS for NB-IO</w:t>
      </w:r>
      <w:r>
        <w:rPr>
          <w:rFonts w:eastAsiaTheme="minorEastAsia"/>
          <w:bCs/>
          <w:szCs w:val="22"/>
        </w:rPr>
        <w:t>T</w:t>
      </w:r>
      <w:r w:rsidR="001E7D60">
        <w:rPr>
          <w:rFonts w:eastAsiaTheme="minorEastAsia"/>
          <w:bCs/>
          <w:szCs w:val="22"/>
        </w:rPr>
        <w:t xml:space="preserve"> with the following description</w:t>
      </w:r>
      <w:r>
        <w:rPr>
          <w:rFonts w:eastAsiaTheme="minorEastAsia"/>
          <w:bCs/>
          <w:szCs w:val="22"/>
        </w:rPr>
        <w:t>:</w:t>
      </w:r>
    </w:p>
    <w:tbl>
      <w:tblPr>
        <w:tblStyle w:val="TableGrid"/>
        <w:tblW w:w="9214" w:type="dxa"/>
        <w:tblInd w:w="562" w:type="dxa"/>
        <w:tblLook w:val="04A0" w:firstRow="1" w:lastRow="0" w:firstColumn="1" w:lastColumn="0" w:noHBand="0" w:noVBand="1"/>
      </w:tblPr>
      <w:tblGrid>
        <w:gridCol w:w="9214"/>
      </w:tblGrid>
      <w:tr w:rsidR="002C5E30" w:rsidRPr="00B222AE" w14:paraId="11798EFD" w14:textId="77777777" w:rsidTr="00747014">
        <w:tc>
          <w:tcPr>
            <w:tcW w:w="9214" w:type="dxa"/>
          </w:tcPr>
          <w:p w14:paraId="2A1A4D14" w14:textId="77777777" w:rsidR="003E33C5" w:rsidRPr="00D75BCD" w:rsidRDefault="003E33C5" w:rsidP="003E33C5">
            <w:pPr>
              <w:numPr>
                <w:ilvl w:val="0"/>
                <w:numId w:val="29"/>
              </w:numPr>
              <w:spacing w:line="240" w:lineRule="auto"/>
              <w:jc w:val="left"/>
              <w:rPr>
                <w:bCs/>
              </w:rPr>
            </w:pPr>
            <w:bookmarkStart w:id="0" w:name="OLE_LINK79"/>
            <w:r w:rsidRPr="00D75BCD">
              <w:rPr>
                <w:bCs/>
              </w:rPr>
              <w:t>Support broadcast of PWS messages for NB-IoT re-using the LTE mechanisms [RAN2]</w:t>
            </w:r>
            <w:bookmarkEnd w:id="0"/>
          </w:p>
          <w:p w14:paraId="05D99E76" w14:textId="35DB81C6" w:rsidR="00C7480A" w:rsidRDefault="003E33C5" w:rsidP="003E33C5">
            <w:pPr>
              <w:spacing w:after="0"/>
              <w:ind w:left="720"/>
              <w:rPr>
                <w:bCs/>
              </w:rPr>
            </w:pPr>
            <w:r>
              <w:rPr>
                <w:bCs/>
              </w:rPr>
              <w:t xml:space="preserve">Note: </w:t>
            </w:r>
            <w:bookmarkStart w:id="1" w:name="OLE_LINK22"/>
            <w:r w:rsidRPr="006648AB">
              <w:rPr>
                <w:bCs/>
              </w:rPr>
              <w:t>The solutions will be developed for NTN but can be applicable to TN (if possible</w:t>
            </w:r>
            <w:bookmarkEnd w:id="1"/>
            <w:r w:rsidRPr="006648AB">
              <w:rPr>
                <w:bCs/>
              </w:rPr>
              <w:t xml:space="preserve">). </w:t>
            </w:r>
            <w:bookmarkStart w:id="2" w:name="OLE_LINK25"/>
            <w:r w:rsidRPr="006648AB">
              <w:rPr>
                <w:bCs/>
              </w:rPr>
              <w:t>Specific NB-IoT TN optimizations will not be considered as part of this WI</w:t>
            </w:r>
            <w:bookmarkEnd w:id="2"/>
            <w:r w:rsidRPr="006648AB">
              <w:rPr>
                <w:bCs/>
              </w:rPr>
              <w:t>.</w:t>
            </w:r>
          </w:p>
          <w:p w14:paraId="5618D393" w14:textId="1839CCE7" w:rsidR="001B75B4" w:rsidRPr="003E33C5" w:rsidRDefault="003E33C5" w:rsidP="003E33C5">
            <w:pPr>
              <w:spacing w:after="0"/>
              <w:ind w:left="720"/>
              <w:rPr>
                <w:bCs/>
              </w:rPr>
            </w:pPr>
            <w:r>
              <w:rPr>
                <w:bCs/>
              </w:rPr>
              <w:t xml:space="preserve">Note: </w:t>
            </w:r>
            <w:bookmarkStart w:id="3" w:name="OLE_LINK31"/>
            <w:bookmarkStart w:id="4" w:name="OLE_LINK28"/>
            <w:r w:rsidRPr="00AB68A3">
              <w:rPr>
                <w:bCs/>
              </w:rPr>
              <w:t xml:space="preserve">Support for </w:t>
            </w:r>
            <w:bookmarkStart w:id="5" w:name="OLE_LINK32"/>
            <w:r w:rsidRPr="00AB68A3">
              <w:rPr>
                <w:bCs/>
              </w:rPr>
              <w:t>indication of intended service area</w:t>
            </w:r>
            <w:bookmarkEnd w:id="5"/>
            <w:r w:rsidRPr="00AB68A3">
              <w:rPr>
                <w:bCs/>
              </w:rPr>
              <w:t xml:space="preserve"> </w:t>
            </w:r>
            <w:bookmarkEnd w:id="3"/>
            <w:r>
              <w:rPr>
                <w:bCs/>
              </w:rPr>
              <w:t xml:space="preserve">for ETWS </w:t>
            </w:r>
            <w:r w:rsidRPr="00AB68A3">
              <w:rPr>
                <w:bCs/>
              </w:rPr>
              <w:t>will be considered based on NR NTN discussions</w:t>
            </w:r>
            <w:bookmarkEnd w:id="4"/>
            <w:r w:rsidRPr="00AB68A3">
              <w:rPr>
                <w:bCs/>
              </w:rPr>
              <w:t xml:space="preserve">/outcome. </w:t>
            </w:r>
          </w:p>
        </w:tc>
      </w:tr>
    </w:tbl>
    <w:p w14:paraId="751363D8" w14:textId="196FF024" w:rsidR="00624E54" w:rsidRDefault="0097481A">
      <w:pPr>
        <w:pStyle w:val="B1"/>
        <w:spacing w:before="180"/>
        <w:ind w:left="0" w:firstLine="0"/>
        <w:rPr>
          <w:rFonts w:eastAsia="SimSun"/>
          <w:sz w:val="22"/>
          <w:lang w:val="en-US" w:eastAsia="zh-CN"/>
        </w:rPr>
      </w:pPr>
      <w:r>
        <w:rPr>
          <w:rFonts w:eastAsia="SimSun"/>
          <w:sz w:val="22"/>
          <w:lang w:val="en-US" w:eastAsia="zh-CN"/>
        </w:rPr>
        <w:t>In t</w:t>
      </w:r>
      <w:r w:rsidR="00624E54">
        <w:rPr>
          <w:rFonts w:eastAsia="SimSun"/>
          <w:sz w:val="22"/>
          <w:lang w:val="en-US" w:eastAsia="zh-CN"/>
        </w:rPr>
        <w:t>he RAN2#12</w:t>
      </w:r>
      <w:r w:rsidR="00066595">
        <w:rPr>
          <w:rFonts w:eastAsia="SimSun"/>
          <w:sz w:val="22"/>
          <w:lang w:val="en-US" w:eastAsia="zh-CN"/>
        </w:rPr>
        <w:t>8</w:t>
      </w:r>
      <w:r w:rsidR="00624E54">
        <w:rPr>
          <w:rFonts w:eastAsia="SimSun"/>
          <w:sz w:val="22"/>
          <w:lang w:val="en-US" w:eastAsia="zh-CN"/>
        </w:rPr>
        <w:t xml:space="preserve"> meeting</w:t>
      </w:r>
      <w:r>
        <w:rPr>
          <w:rFonts w:eastAsia="SimSun"/>
          <w:sz w:val="22"/>
          <w:lang w:val="en-US" w:eastAsia="zh-CN"/>
        </w:rPr>
        <w:t>,</w:t>
      </w:r>
      <w:r w:rsidR="00624E54">
        <w:rPr>
          <w:rFonts w:eastAsia="SimSun"/>
          <w:sz w:val="22"/>
          <w:lang w:val="en-US" w:eastAsia="zh-CN"/>
        </w:rPr>
        <w:t xml:space="preserve"> the following agreements</w:t>
      </w:r>
      <w:r>
        <w:rPr>
          <w:rFonts w:eastAsia="SimSun"/>
          <w:sz w:val="22"/>
          <w:lang w:val="en-US" w:eastAsia="zh-CN"/>
        </w:rPr>
        <w:t xml:space="preserve"> were achieved</w:t>
      </w:r>
      <w:r w:rsidR="00624E54">
        <w:rPr>
          <w:rFonts w:eastAsia="SimSun"/>
          <w:sz w:val="22"/>
          <w:lang w:val="en-US" w:eastAsia="zh-CN"/>
        </w:rPr>
        <w:t>:</w:t>
      </w:r>
    </w:p>
    <w:p w14:paraId="0EFD6E29" w14:textId="77777777" w:rsidR="00066595" w:rsidRPr="00066595" w:rsidRDefault="00066595" w:rsidP="00747014">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GB" w:eastAsia="en-GB"/>
        </w:rPr>
      </w:pPr>
      <w:r w:rsidRPr="00066595">
        <w:rPr>
          <w:rFonts w:ascii="Arial" w:eastAsia="MS Mincho" w:hAnsi="Arial"/>
          <w:sz w:val="20"/>
          <w:szCs w:val="24"/>
          <w:lang w:val="en-GB" w:eastAsia="en-GB"/>
        </w:rPr>
        <w:t>Agreements:</w:t>
      </w:r>
    </w:p>
    <w:p w14:paraId="2B77E6A6" w14:textId="77777777" w:rsidR="00066595" w:rsidRPr="00066595" w:rsidRDefault="00066595" w:rsidP="00747014">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GB" w:eastAsia="en-GB"/>
        </w:rPr>
      </w:pPr>
      <w:r w:rsidRPr="00066595">
        <w:rPr>
          <w:rFonts w:ascii="Arial" w:eastAsia="MS Mincho" w:hAnsi="Arial"/>
          <w:sz w:val="20"/>
          <w:szCs w:val="24"/>
          <w:lang w:val="en-GB" w:eastAsia="en-GB"/>
        </w:rPr>
        <w:t>1.</w:t>
      </w:r>
      <w:r w:rsidRPr="00066595">
        <w:rPr>
          <w:rFonts w:ascii="Arial" w:eastAsia="MS Mincho" w:hAnsi="Arial"/>
          <w:sz w:val="20"/>
          <w:szCs w:val="24"/>
          <w:lang w:val="en-GB" w:eastAsia="en-GB"/>
        </w:rPr>
        <w:tab/>
        <w:t>We will clarify in 36.300 section 4.10 that in general a NB-IoT UE may not support all PWS requirements.</w:t>
      </w:r>
    </w:p>
    <w:p w14:paraId="31D83A48" w14:textId="77777777" w:rsidR="00066595" w:rsidRPr="00066595" w:rsidRDefault="00066595" w:rsidP="00747014">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GB" w:eastAsia="en-GB"/>
        </w:rPr>
      </w:pPr>
      <w:r w:rsidRPr="00066595">
        <w:rPr>
          <w:rFonts w:ascii="Arial" w:eastAsia="MS Mincho" w:hAnsi="Arial"/>
          <w:sz w:val="20"/>
          <w:szCs w:val="24"/>
          <w:lang w:val="en-GB" w:eastAsia="en-GB"/>
        </w:rPr>
        <w:t>2.</w:t>
      </w:r>
      <w:r w:rsidRPr="00066595">
        <w:rPr>
          <w:rFonts w:ascii="Arial" w:eastAsia="MS Mincho" w:hAnsi="Arial"/>
          <w:sz w:val="20"/>
          <w:szCs w:val="24"/>
          <w:lang w:val="en-GB" w:eastAsia="en-GB"/>
        </w:rPr>
        <w:tab/>
        <w:t>We will extend the existing ETWS/CMAS notification RRC procedures for eMTC to NB-IoT. FFS if SIB1-NB acquisition is needed</w:t>
      </w:r>
    </w:p>
    <w:p w14:paraId="4F40BD0A" w14:textId="77777777" w:rsidR="00066595" w:rsidRPr="00066595" w:rsidRDefault="00066595" w:rsidP="00747014">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GB" w:eastAsia="en-GB"/>
        </w:rPr>
      </w:pPr>
      <w:r w:rsidRPr="00066595">
        <w:rPr>
          <w:rFonts w:ascii="Arial" w:eastAsia="MS Mincho" w:hAnsi="Arial"/>
          <w:sz w:val="20"/>
          <w:szCs w:val="24"/>
          <w:lang w:val="en-GB" w:eastAsia="en-GB"/>
        </w:rPr>
        <w:t>3.</w:t>
      </w:r>
      <w:r w:rsidRPr="00066595">
        <w:rPr>
          <w:rFonts w:ascii="Arial" w:eastAsia="MS Mincho" w:hAnsi="Arial"/>
          <w:sz w:val="20"/>
          <w:szCs w:val="24"/>
          <w:lang w:val="en-GB" w:eastAsia="en-GB"/>
        </w:rPr>
        <w:tab/>
        <w:t>Add the following PWS indication in Paging-NB:</w:t>
      </w:r>
    </w:p>
    <w:p w14:paraId="01A0FD28" w14:textId="77777777" w:rsidR="00066595" w:rsidRPr="00066595" w:rsidRDefault="00066595" w:rsidP="00747014">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GB" w:eastAsia="en-GB"/>
        </w:rPr>
      </w:pPr>
      <w:r w:rsidRPr="00066595">
        <w:rPr>
          <w:rFonts w:ascii="Arial" w:eastAsia="MS Mincho" w:hAnsi="Arial"/>
          <w:sz w:val="20"/>
          <w:szCs w:val="24"/>
          <w:lang w:val="en-GB" w:eastAsia="en-GB"/>
        </w:rPr>
        <w:tab/>
        <w:t>- etws-Indication;</w:t>
      </w:r>
    </w:p>
    <w:p w14:paraId="4ADC7F8D" w14:textId="319E738E" w:rsidR="00624E54" w:rsidRPr="00066595" w:rsidRDefault="00066595" w:rsidP="00747014">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GB" w:eastAsia="en-GB"/>
        </w:rPr>
      </w:pPr>
      <w:r w:rsidRPr="00066595">
        <w:rPr>
          <w:rFonts w:ascii="Arial" w:eastAsia="MS Mincho" w:hAnsi="Arial"/>
          <w:sz w:val="20"/>
          <w:szCs w:val="24"/>
          <w:lang w:val="en-GB" w:eastAsia="en-GB"/>
        </w:rPr>
        <w:tab/>
        <w:t>- cmas-Indication.</w:t>
      </w:r>
    </w:p>
    <w:p w14:paraId="0FBDD247" w14:textId="37B17EE5" w:rsidR="00127774" w:rsidRDefault="00127774" w:rsidP="00127774">
      <w:pPr>
        <w:pStyle w:val="B1"/>
        <w:spacing w:before="312"/>
        <w:ind w:left="0" w:firstLine="0"/>
        <w:rPr>
          <w:rFonts w:eastAsia="SimSun"/>
          <w:sz w:val="22"/>
          <w:lang w:val="en-US" w:eastAsia="zh-CN"/>
        </w:rPr>
      </w:pPr>
      <w:r>
        <w:rPr>
          <w:rFonts w:eastAsia="SimSun"/>
          <w:sz w:val="22"/>
          <w:lang w:val="en-US" w:eastAsia="zh-CN"/>
        </w:rPr>
        <w:t>In the RAN2#129 meeting, the following agreements were achieved:</w:t>
      </w:r>
    </w:p>
    <w:p w14:paraId="0038B9C6" w14:textId="77777777" w:rsidR="00127774" w:rsidRPr="00066595" w:rsidRDefault="00127774" w:rsidP="00127774">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GB" w:eastAsia="en-GB"/>
        </w:rPr>
      </w:pPr>
      <w:r w:rsidRPr="00066595">
        <w:rPr>
          <w:rFonts w:ascii="Arial" w:eastAsia="MS Mincho" w:hAnsi="Arial"/>
          <w:sz w:val="20"/>
          <w:szCs w:val="24"/>
          <w:lang w:val="en-GB" w:eastAsia="en-GB"/>
        </w:rPr>
        <w:t>Agreements:</w:t>
      </w:r>
    </w:p>
    <w:p w14:paraId="724E4D4B" w14:textId="53C11B5B" w:rsidR="00127774" w:rsidRPr="00127774" w:rsidRDefault="00127774" w:rsidP="00127774">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GB" w:eastAsia="en-GB"/>
        </w:rPr>
      </w:pPr>
      <w:r w:rsidRPr="00066595">
        <w:rPr>
          <w:rFonts w:ascii="Arial" w:eastAsia="MS Mincho" w:hAnsi="Arial"/>
          <w:sz w:val="20"/>
          <w:szCs w:val="24"/>
          <w:lang w:val="en-GB" w:eastAsia="en-GB"/>
        </w:rPr>
        <w:t>1.</w:t>
      </w:r>
      <w:r w:rsidRPr="00066595">
        <w:rPr>
          <w:rFonts w:ascii="Arial" w:eastAsia="MS Mincho" w:hAnsi="Arial"/>
          <w:sz w:val="20"/>
          <w:szCs w:val="24"/>
          <w:lang w:val="en-GB" w:eastAsia="en-GB"/>
        </w:rPr>
        <w:tab/>
      </w:r>
      <w:r w:rsidRPr="00127774">
        <w:rPr>
          <w:rFonts w:ascii="Arial" w:eastAsia="MS Mincho" w:hAnsi="Arial"/>
          <w:sz w:val="20"/>
          <w:szCs w:val="24"/>
          <w:lang w:val="en-GB" w:eastAsia="en-GB"/>
        </w:rPr>
        <w:t>Introduce geographic information in ETWS messages for geo-fencing in IoT NTN cells</w:t>
      </w:r>
    </w:p>
    <w:p w14:paraId="40F81B1A" w14:textId="77777777" w:rsidR="00127774" w:rsidRPr="00127774" w:rsidRDefault="00127774" w:rsidP="00127774">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GB" w:eastAsia="en-GB"/>
        </w:rPr>
      </w:pPr>
      <w:r w:rsidRPr="00127774">
        <w:rPr>
          <w:rFonts w:ascii="Arial" w:eastAsia="MS Mincho" w:hAnsi="Arial"/>
          <w:sz w:val="20"/>
          <w:szCs w:val="24"/>
          <w:lang w:val="en-GB" w:eastAsia="en-GB"/>
        </w:rPr>
        <w:t>2.</w:t>
      </w:r>
      <w:r w:rsidRPr="00127774">
        <w:rPr>
          <w:rFonts w:ascii="Arial" w:eastAsia="MS Mincho" w:hAnsi="Arial"/>
          <w:sz w:val="20"/>
          <w:szCs w:val="24"/>
          <w:lang w:val="en-GB" w:eastAsia="en-GB"/>
        </w:rPr>
        <w:tab/>
        <w:t>Introduce the Warning Area Coordinates IE for ETWS to describe an emergency area in system information.</w:t>
      </w:r>
    </w:p>
    <w:p w14:paraId="09347ACF" w14:textId="77777777" w:rsidR="00127774" w:rsidRPr="00127774" w:rsidRDefault="00127774" w:rsidP="00127774">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GB" w:eastAsia="en-GB"/>
        </w:rPr>
      </w:pPr>
      <w:r w:rsidRPr="00127774">
        <w:rPr>
          <w:rFonts w:ascii="Arial" w:eastAsia="MS Mincho" w:hAnsi="Arial"/>
          <w:sz w:val="20"/>
          <w:szCs w:val="24"/>
          <w:lang w:val="en-GB" w:eastAsia="en-GB"/>
        </w:rPr>
        <w:t>3.</w:t>
      </w:r>
      <w:r w:rsidRPr="00127774">
        <w:rPr>
          <w:rFonts w:ascii="Arial" w:eastAsia="MS Mincho" w:hAnsi="Arial"/>
          <w:sz w:val="20"/>
          <w:szCs w:val="24"/>
          <w:lang w:val="en-GB" w:eastAsia="en-GB"/>
        </w:rPr>
        <w:tab/>
        <w:t>Introduce the Warning Area Coordinates IE to existing ETWS SIBs, i.e., SIB10-NB/11-NB, without introducing the need for segmentation of SIB10-NB</w:t>
      </w:r>
    </w:p>
    <w:p w14:paraId="798CCF72" w14:textId="3D57F9D1" w:rsidR="00127774" w:rsidRPr="00066595" w:rsidRDefault="00127774" w:rsidP="00127774">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ascii="Arial" w:eastAsia="MS Mincho" w:hAnsi="Arial"/>
          <w:sz w:val="20"/>
          <w:szCs w:val="24"/>
          <w:lang w:val="en-GB" w:eastAsia="en-GB"/>
        </w:rPr>
      </w:pPr>
      <w:r w:rsidRPr="00127774">
        <w:rPr>
          <w:rFonts w:ascii="Arial" w:eastAsia="MS Mincho" w:hAnsi="Arial"/>
          <w:sz w:val="20"/>
          <w:szCs w:val="24"/>
          <w:lang w:val="en-GB" w:eastAsia="en-GB"/>
        </w:rPr>
        <w:t>4.</w:t>
      </w:r>
      <w:r w:rsidRPr="00127774">
        <w:rPr>
          <w:rFonts w:ascii="Arial" w:eastAsia="MS Mincho" w:hAnsi="Arial"/>
          <w:sz w:val="20"/>
          <w:szCs w:val="24"/>
          <w:lang w:val="en-GB" w:eastAsia="en-GB"/>
        </w:rPr>
        <w:tab/>
        <w:t>We don’t introduce a new SIB for carrying geographical information for emergency areas</w:t>
      </w:r>
    </w:p>
    <w:p w14:paraId="6CE2F66E" w14:textId="5DB38BA0" w:rsidR="00127774" w:rsidRPr="00127774" w:rsidRDefault="00127774" w:rsidP="008227E4">
      <w:pPr>
        <w:pStyle w:val="B1"/>
        <w:spacing w:before="312"/>
        <w:ind w:left="0" w:firstLine="0"/>
        <w:rPr>
          <w:rFonts w:eastAsia="SimSun"/>
          <w:sz w:val="22"/>
          <w:lang w:val="en-US" w:eastAsia="zh-CN"/>
        </w:rPr>
      </w:pPr>
      <w:r w:rsidRPr="0088640C">
        <w:rPr>
          <w:rFonts w:eastAsia="SimSun"/>
          <w:sz w:val="22"/>
          <w:lang w:val="en-US" w:eastAsia="zh-CN"/>
        </w:rPr>
        <w:lastRenderedPageBreak/>
        <w:t xml:space="preserve">In this contribution, we </w:t>
      </w:r>
      <w:r>
        <w:rPr>
          <w:rFonts w:eastAsia="SimSun"/>
          <w:sz w:val="22"/>
          <w:lang w:val="en-US" w:eastAsia="zh-CN"/>
        </w:rPr>
        <w:t xml:space="preserve">provide our consideration on </w:t>
      </w:r>
      <w:r w:rsidR="008227E4">
        <w:rPr>
          <w:rFonts w:eastAsia="SimSun"/>
          <w:sz w:val="22"/>
          <w:lang w:val="en-US" w:eastAsia="zh-CN"/>
        </w:rPr>
        <w:t>how to e</w:t>
      </w:r>
      <w:r w:rsidR="00DF6F01" w:rsidRPr="00DF6F01">
        <w:rPr>
          <w:rFonts w:eastAsia="SimSun"/>
          <w:sz w:val="22"/>
          <w:lang w:val="en-US" w:eastAsia="zh-CN"/>
        </w:rPr>
        <w:t>nsur</w:t>
      </w:r>
      <w:r w:rsidR="008227E4">
        <w:rPr>
          <w:rFonts w:eastAsia="SimSun"/>
          <w:sz w:val="22"/>
          <w:lang w:val="en-US" w:eastAsia="zh-CN"/>
        </w:rPr>
        <w:t>e</w:t>
      </w:r>
      <w:r w:rsidR="00DF6F01" w:rsidRPr="00DF6F01">
        <w:rPr>
          <w:rFonts w:eastAsia="SimSun"/>
          <w:sz w:val="22"/>
          <w:lang w:val="en-US" w:eastAsia="zh-CN"/>
        </w:rPr>
        <w:t xml:space="preserve"> PWS message delivery for UEs </w:t>
      </w:r>
      <w:r w:rsidR="00C643E3">
        <w:rPr>
          <w:rFonts w:eastAsia="SimSun"/>
          <w:sz w:val="22"/>
          <w:lang w:val="en-US" w:eastAsia="zh-CN"/>
        </w:rPr>
        <w:t xml:space="preserve">currently </w:t>
      </w:r>
      <w:r w:rsidR="00DF6F01" w:rsidRPr="00DF6F01">
        <w:rPr>
          <w:rFonts w:eastAsia="SimSun"/>
          <w:sz w:val="22"/>
          <w:lang w:val="en-US" w:eastAsia="zh-CN"/>
        </w:rPr>
        <w:t>in RRC_CONNECTED</w:t>
      </w:r>
      <w:r w:rsidR="00E81373">
        <w:rPr>
          <w:rFonts w:eastAsia="SimSun"/>
          <w:sz w:val="22"/>
          <w:lang w:val="en-US" w:eastAsia="zh-CN"/>
        </w:rPr>
        <w:t>.</w:t>
      </w:r>
      <w:r w:rsidR="00DF6F01">
        <w:rPr>
          <w:rFonts w:eastAsia="SimSun"/>
          <w:sz w:val="22"/>
          <w:lang w:val="en-US" w:eastAsia="zh-CN"/>
        </w:rPr>
        <w:t xml:space="preserve"> </w:t>
      </w:r>
    </w:p>
    <w:p w14:paraId="6D3C4B43" w14:textId="60659594" w:rsidR="00333AFF" w:rsidRPr="008227E4" w:rsidRDefault="0083240D" w:rsidP="008227E4">
      <w:pPr>
        <w:pStyle w:val="Heading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6" w:name="OLE_LINK139"/>
      <w:bookmarkStart w:id="7" w:name="OLE_LINK140"/>
    </w:p>
    <w:p w14:paraId="1036B7A3" w14:textId="441F4FA7" w:rsidR="000C2F19" w:rsidRDefault="00127774" w:rsidP="00894991">
      <w:pPr>
        <w:spacing w:line="240" w:lineRule="auto"/>
      </w:pPr>
      <w:r>
        <w:t>Previously</w:t>
      </w:r>
      <w:r w:rsidR="002351BC">
        <w:t xml:space="preserve">, RAN2 </w:t>
      </w:r>
      <w:r w:rsidR="000C2F19">
        <w:t xml:space="preserve">sent an LS (in </w:t>
      </w:r>
      <w:r w:rsidR="000C2F19" w:rsidRPr="000C2F19">
        <w:t>R2-2411194</w:t>
      </w:r>
      <w:r w:rsidR="000C2F19">
        <w:t>) to RAN1 asking whether it is feasible to let UE</w:t>
      </w:r>
      <w:r w:rsidR="00DF6F01">
        <w:t>s</w:t>
      </w:r>
      <w:r w:rsidR="000C2F19">
        <w:t xml:space="preserve"> receive</w:t>
      </w:r>
      <w:r w:rsidR="002351BC">
        <w:t xml:space="preserve"> PWS </w:t>
      </w:r>
      <w:r w:rsidR="000C2F19">
        <w:t>without leaving</w:t>
      </w:r>
      <w:r w:rsidR="002351BC">
        <w:t xml:space="preserve"> RRC</w:t>
      </w:r>
      <w:r w:rsidR="00DF6F01">
        <w:t>_</w:t>
      </w:r>
      <w:r w:rsidR="002351BC">
        <w:t>CONNECTED</w:t>
      </w:r>
      <w:r w:rsidR="000C2F19">
        <w:t xml:space="preserve"> d</w:t>
      </w:r>
      <w:r w:rsidR="002351BC">
        <w:t xml:space="preserve">ue to the concern that this may require </w:t>
      </w:r>
      <w:r w:rsidR="00965748">
        <w:t xml:space="preserve">additional </w:t>
      </w:r>
      <w:r w:rsidR="002351BC">
        <w:t xml:space="preserve">UE capability </w:t>
      </w:r>
      <w:r w:rsidR="0038095D">
        <w:t xml:space="preserve">for </w:t>
      </w:r>
      <w:r w:rsidR="002351BC">
        <w:t xml:space="preserve">monitoring a </w:t>
      </w:r>
      <w:r w:rsidR="006733D4">
        <w:t xml:space="preserve">common search space in addition to the UE specific search space. </w:t>
      </w:r>
    </w:p>
    <w:p w14:paraId="549141FF" w14:textId="5489A6F8" w:rsidR="000C2F19" w:rsidRDefault="000C2F19" w:rsidP="00894991">
      <w:pPr>
        <w:spacing w:line="240" w:lineRule="auto"/>
      </w:pPr>
      <w:r>
        <w:t xml:space="preserve">RAN1 discussed this issue and replied (in R1-2501613) that developing </w:t>
      </w:r>
      <w:r w:rsidR="00DF6F01">
        <w:t xml:space="preserve">a </w:t>
      </w:r>
      <w:r>
        <w:t xml:space="preserve">RAN1 solution for this may require addition TUs from RAN Plenary. Then in </w:t>
      </w:r>
      <w:r w:rsidR="00DF6F01">
        <w:t xml:space="preserve">the </w:t>
      </w:r>
      <w:r>
        <w:t xml:space="preserve">RAN Plenary, no TU was allocated and a NOTE was added to the revised WID (in </w:t>
      </w:r>
      <w:r>
        <w:rPr>
          <w:rFonts w:hint="eastAsia"/>
        </w:rPr>
        <w:t>RP-250472</w:t>
      </w:r>
      <w:r>
        <w:t>):</w:t>
      </w:r>
    </w:p>
    <w:p w14:paraId="27D38269" w14:textId="75A3C5F4" w:rsidR="000C2F19" w:rsidRPr="000C2F19" w:rsidRDefault="000C2F19" w:rsidP="000C2F19">
      <w:pPr>
        <w:spacing w:line="240" w:lineRule="auto"/>
        <w:ind w:left="1100" w:hangingChars="500" w:hanging="1100"/>
        <w:rPr>
          <w:b/>
        </w:rPr>
      </w:pPr>
      <w:r>
        <w:t xml:space="preserve">     </w:t>
      </w:r>
      <w:r w:rsidRPr="000C2F19">
        <w:rPr>
          <w:b/>
        </w:rPr>
        <w:t>Note: PWS notifications in paging, direct indication, and system information in RRC connected mode is not supported.</w:t>
      </w:r>
    </w:p>
    <w:p w14:paraId="54F68B46" w14:textId="38DE4768" w:rsidR="000475DA" w:rsidRDefault="000C2F19" w:rsidP="00894991">
      <w:pPr>
        <w:spacing w:line="240" w:lineRule="auto"/>
      </w:pPr>
      <w:r>
        <w:t>Based on this, we understand UE</w:t>
      </w:r>
      <w:r w:rsidR="00DF6F01">
        <w:t>s</w:t>
      </w:r>
      <w:r>
        <w:t xml:space="preserve"> will not monitor an additional search space </w:t>
      </w:r>
      <w:r w:rsidR="000475DA">
        <w:t xml:space="preserve">for PWS reception. So based on the current mechanism, </w:t>
      </w:r>
      <w:r w:rsidR="00DF6F01">
        <w:t xml:space="preserve">the </w:t>
      </w:r>
      <w:r w:rsidR="000475DA">
        <w:t>NW can release UEs to IDLE for PWS reception. However</w:t>
      </w:r>
      <w:r w:rsidR="00DF6F01">
        <w:t>,</w:t>
      </w:r>
      <w:r w:rsidR="000475DA">
        <w:t xml:space="preserve"> we see two issues with this approach:</w:t>
      </w:r>
    </w:p>
    <w:p w14:paraId="2283A5B6" w14:textId="5486218E" w:rsidR="00E7358F" w:rsidRDefault="000475DA" w:rsidP="00894991">
      <w:pPr>
        <w:spacing w:line="240" w:lineRule="auto"/>
      </w:pPr>
      <w:r w:rsidRPr="000475DA">
        <w:rPr>
          <w:rFonts w:hint="eastAsia"/>
          <w:b/>
        </w:rPr>
        <w:t>I</w:t>
      </w:r>
      <w:r w:rsidRPr="000475DA">
        <w:rPr>
          <w:b/>
        </w:rPr>
        <w:t xml:space="preserve">ssue 1: </w:t>
      </w:r>
      <w:r>
        <w:t>W</w:t>
      </w:r>
      <w:r>
        <w:rPr>
          <w:rFonts w:hint="eastAsia"/>
        </w:rPr>
        <w:t xml:space="preserve">ithout </w:t>
      </w:r>
      <w:r w:rsidR="00923858">
        <w:t xml:space="preserve">knowing the reason </w:t>
      </w:r>
      <w:r w:rsidR="00740275">
        <w:t>of</w:t>
      </w:r>
      <w:r w:rsidR="00923858">
        <w:t xml:space="preserve"> </w:t>
      </w:r>
      <w:r>
        <w:rPr>
          <w:rFonts w:hint="eastAsia"/>
        </w:rPr>
        <w:t xml:space="preserve">the release, </w:t>
      </w:r>
      <w:r w:rsidR="00AB149B">
        <w:t xml:space="preserve">a </w:t>
      </w:r>
      <w:r w:rsidRPr="000475DA">
        <w:rPr>
          <w:rFonts w:hint="eastAsia"/>
        </w:rPr>
        <w:t xml:space="preserve">UE will immediately initiate RRC </w:t>
      </w:r>
      <w:r w:rsidR="00923858">
        <w:t xml:space="preserve">Connection </w:t>
      </w:r>
      <w:r w:rsidRPr="000475DA">
        <w:rPr>
          <w:rFonts w:hint="eastAsia"/>
        </w:rPr>
        <w:t xml:space="preserve">establishment if </w:t>
      </w:r>
      <w:r w:rsidR="00923858">
        <w:t xml:space="preserve">it </w:t>
      </w:r>
      <w:r w:rsidRPr="000475DA">
        <w:rPr>
          <w:rFonts w:hint="eastAsia"/>
        </w:rPr>
        <w:t xml:space="preserve">has UL </w:t>
      </w:r>
      <w:r w:rsidR="00923858">
        <w:t xml:space="preserve">data </w:t>
      </w:r>
      <w:r w:rsidRPr="000475DA">
        <w:rPr>
          <w:rFonts w:hint="eastAsia"/>
        </w:rPr>
        <w:t>to send.</w:t>
      </w:r>
      <w:r>
        <w:rPr>
          <w:rFonts w:hint="eastAsia"/>
        </w:rPr>
        <w:t xml:space="preserve"> This will defeat the purpose of letting UE receive PWS in IDLE.</w:t>
      </w:r>
    </w:p>
    <w:p w14:paraId="46722892" w14:textId="0C174775" w:rsidR="000475DA" w:rsidRDefault="000475DA" w:rsidP="00894991">
      <w:pPr>
        <w:spacing w:line="240" w:lineRule="auto"/>
      </w:pPr>
      <w:r w:rsidRPr="000475DA">
        <w:rPr>
          <w:rFonts w:hint="eastAsia"/>
          <w:b/>
        </w:rPr>
        <w:t>I</w:t>
      </w:r>
      <w:r w:rsidRPr="000475DA">
        <w:rPr>
          <w:b/>
        </w:rPr>
        <w:t>ssue 2:</w:t>
      </w:r>
      <w:r>
        <w:rPr>
          <w:b/>
        </w:rPr>
        <w:t xml:space="preserve"> </w:t>
      </w:r>
      <w:r>
        <w:t>E</w:t>
      </w:r>
      <w:r>
        <w:rPr>
          <w:rFonts w:hint="eastAsia"/>
        </w:rPr>
        <w:t>ven if it happens that the UE doesn</w:t>
      </w:r>
      <w:r>
        <w:t>’</w:t>
      </w:r>
      <w:r>
        <w:rPr>
          <w:rFonts w:hint="eastAsia"/>
        </w:rPr>
        <w:t xml:space="preserve">t have any UL </w:t>
      </w:r>
      <w:r w:rsidR="00923858">
        <w:t>data</w:t>
      </w:r>
      <w:r>
        <w:rPr>
          <w:rFonts w:hint="eastAsia"/>
        </w:rPr>
        <w:t xml:space="preserve">, </w:t>
      </w:r>
      <w:r w:rsidR="00923858">
        <w:t xml:space="preserve">it </w:t>
      </w:r>
      <w:r>
        <w:rPr>
          <w:rFonts w:hint="eastAsia"/>
        </w:rPr>
        <w:t xml:space="preserve">has to wait for paging occasion (and paging repetitions) </w:t>
      </w:r>
      <w:r w:rsidR="00923858">
        <w:t xml:space="preserve">to determine </w:t>
      </w:r>
      <w:r>
        <w:rPr>
          <w:rFonts w:hint="eastAsia"/>
        </w:rPr>
        <w:t xml:space="preserve">that there is </w:t>
      </w:r>
      <w:r w:rsidR="00E81373">
        <w:t xml:space="preserve">a </w:t>
      </w:r>
      <w:r>
        <w:rPr>
          <w:rFonts w:hint="eastAsia"/>
        </w:rPr>
        <w:t xml:space="preserve">PWS </w:t>
      </w:r>
      <w:r w:rsidR="00E81373">
        <w:t xml:space="preserve">message </w:t>
      </w:r>
      <w:r>
        <w:rPr>
          <w:rFonts w:hint="eastAsia"/>
        </w:rPr>
        <w:t>coming after being released</w:t>
      </w:r>
      <w:r w:rsidR="002D5C2E">
        <w:t>. This delay</w:t>
      </w:r>
      <w:r w:rsidR="00E81373">
        <w:t xml:space="preserve"> </w:t>
      </w:r>
      <w:r>
        <w:rPr>
          <w:rFonts w:hint="eastAsia"/>
        </w:rPr>
        <w:t xml:space="preserve">before reading PWS SIBs, leads to </w:t>
      </w:r>
      <w:r w:rsidR="002D5C2E">
        <w:t>additional</w:t>
      </w:r>
      <w:r w:rsidR="002D5C2E">
        <w:rPr>
          <w:rFonts w:hint="eastAsia"/>
        </w:rPr>
        <w:t xml:space="preserve"> </w:t>
      </w:r>
      <w:r>
        <w:rPr>
          <w:rFonts w:hint="eastAsia"/>
        </w:rPr>
        <w:t xml:space="preserve">latency, </w:t>
      </w:r>
      <w:r w:rsidR="00DF6F01">
        <w:t xml:space="preserve">as pictured in </w:t>
      </w:r>
      <w:r>
        <w:rPr>
          <w:rFonts w:hint="eastAsia"/>
        </w:rPr>
        <w:t>figure</w:t>
      </w:r>
      <w:r w:rsidR="00DF6F01">
        <w:t xml:space="preserve"> 1.</w:t>
      </w:r>
    </w:p>
    <w:p w14:paraId="77FE8359" w14:textId="77777777" w:rsidR="00DF6F01" w:rsidRDefault="000475DA" w:rsidP="00A419CA">
      <w:pPr>
        <w:keepNext/>
        <w:spacing w:line="240" w:lineRule="auto"/>
        <w:jc w:val="center"/>
      </w:pPr>
      <w:r>
        <w:rPr>
          <w:noProof/>
        </w:rPr>
        <w:drawing>
          <wp:inline distT="0" distB="0" distL="0" distR="0" wp14:anchorId="32C7F997" wp14:editId="3E5E574A">
            <wp:extent cx="5296535" cy="2621280"/>
            <wp:effectExtent l="0" t="0" r="0" b="7620"/>
            <wp:docPr id="1" name="图片 1" descr="cid:image003.png@01DB98F1.0A43F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3.png@01DB98F1.0A43FE1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296535" cy="2621280"/>
                    </a:xfrm>
                    <a:prstGeom prst="rect">
                      <a:avLst/>
                    </a:prstGeom>
                    <a:noFill/>
                    <a:ln>
                      <a:noFill/>
                    </a:ln>
                  </pic:spPr>
                </pic:pic>
              </a:graphicData>
            </a:graphic>
          </wp:inline>
        </w:drawing>
      </w:r>
    </w:p>
    <w:p w14:paraId="0FD90929" w14:textId="7B64202A" w:rsidR="000475DA" w:rsidRPr="000475DA" w:rsidRDefault="00DF6F01" w:rsidP="00A419CA">
      <w:pPr>
        <w:pStyle w:val="Caption"/>
        <w:rPr>
          <w:b w:val="0"/>
        </w:rPr>
      </w:pPr>
      <w:r>
        <w:t xml:space="preserve">Figure </w:t>
      </w:r>
      <w:r w:rsidR="009003D6">
        <w:fldChar w:fldCharType="begin"/>
      </w:r>
      <w:r w:rsidR="009003D6">
        <w:instrText xml:space="preserve"> SEQ Figure \* ARABIC </w:instrText>
      </w:r>
      <w:r w:rsidR="009003D6">
        <w:fldChar w:fldCharType="separate"/>
      </w:r>
      <w:r>
        <w:rPr>
          <w:noProof/>
        </w:rPr>
        <w:t>1</w:t>
      </w:r>
      <w:r w:rsidR="009003D6">
        <w:rPr>
          <w:noProof/>
        </w:rPr>
        <w:fldChar w:fldCharType="end"/>
      </w:r>
      <w:r>
        <w:t xml:space="preserve"> Latency of acquiring </w:t>
      </w:r>
      <w:r w:rsidR="00076CDF">
        <w:t xml:space="preserve">a </w:t>
      </w:r>
      <w:r>
        <w:t>PWS message</w:t>
      </w:r>
    </w:p>
    <w:p w14:paraId="07A1D06A" w14:textId="2DAEAF9C" w:rsidR="00CD36A0" w:rsidRDefault="000475DA" w:rsidP="000475DA">
      <w:pPr>
        <w:rPr>
          <w:sz w:val="21"/>
        </w:rPr>
      </w:pPr>
      <w:r>
        <w:t>In our understanding, the</w:t>
      </w:r>
      <w:r w:rsidR="002D5C2E">
        <w:t>se</w:t>
      </w:r>
      <w:r>
        <w:t xml:space="preserve"> issues can be easily </w:t>
      </w:r>
      <w:r w:rsidR="002D5C2E">
        <w:t>re</w:t>
      </w:r>
      <w:r>
        <w:t xml:space="preserve">solved by </w:t>
      </w:r>
      <w:r w:rsidR="002D5C2E">
        <w:t xml:space="preserve">informing </w:t>
      </w:r>
      <w:r w:rsidR="00E81373">
        <w:t xml:space="preserve">the </w:t>
      </w:r>
      <w:r>
        <w:t xml:space="preserve">UE </w:t>
      </w:r>
      <w:r w:rsidR="00E81373">
        <w:t xml:space="preserve">that </w:t>
      </w:r>
      <w:r>
        <w:t xml:space="preserve">the RRC release is for PWS reception in </w:t>
      </w:r>
      <w:r w:rsidR="00E81373">
        <w:t>RRC_</w:t>
      </w:r>
      <w:r>
        <w:t xml:space="preserve">IDLE. </w:t>
      </w:r>
      <w:r>
        <w:rPr>
          <w:rFonts w:hint="eastAsia"/>
        </w:rPr>
        <w:t xml:space="preserve">In this case, after being released to </w:t>
      </w:r>
      <w:r w:rsidR="00E81373">
        <w:t>RRC_</w:t>
      </w:r>
      <w:r>
        <w:rPr>
          <w:rFonts w:hint="eastAsia"/>
        </w:rPr>
        <w:t xml:space="preserve">IDLE, </w:t>
      </w:r>
      <w:r w:rsidR="00E81373">
        <w:t xml:space="preserve">the </w:t>
      </w:r>
      <w:r>
        <w:rPr>
          <w:rFonts w:hint="eastAsia"/>
        </w:rPr>
        <w:t xml:space="preserve">UE will </w:t>
      </w:r>
      <w:r w:rsidR="002D5C2E" w:rsidRPr="002D5C2E">
        <w:t>immediately</w:t>
      </w:r>
      <w:r w:rsidR="002D5C2E" w:rsidRPr="002D5C2E">
        <w:rPr>
          <w:rFonts w:hint="eastAsia"/>
        </w:rPr>
        <w:t xml:space="preserve"> </w:t>
      </w:r>
      <w:r>
        <w:rPr>
          <w:rFonts w:hint="eastAsia"/>
        </w:rPr>
        <w:t xml:space="preserve">read the PWS SIB and will not initiate RRC establishment </w:t>
      </w:r>
      <w:r w:rsidR="002D5C2E">
        <w:t xml:space="preserve">until </w:t>
      </w:r>
      <w:r>
        <w:rPr>
          <w:rFonts w:hint="eastAsia"/>
        </w:rPr>
        <w:t xml:space="preserve">PWS reception is complete. This solution requires </w:t>
      </w:r>
      <w:r w:rsidR="002D5C2E">
        <w:lastRenderedPageBreak/>
        <w:t xml:space="preserve">minimal </w:t>
      </w:r>
      <w:r>
        <w:rPr>
          <w:rFonts w:hint="eastAsia"/>
        </w:rPr>
        <w:t xml:space="preserve">spec </w:t>
      </w:r>
      <w:r w:rsidR="002D5C2E">
        <w:t xml:space="preserve">changes </w:t>
      </w:r>
      <w:r>
        <w:rPr>
          <w:rFonts w:hint="eastAsia"/>
        </w:rPr>
        <w:t xml:space="preserve">in RAN2 and </w:t>
      </w:r>
      <w:r w:rsidR="00E81373">
        <w:t xml:space="preserve">has </w:t>
      </w:r>
      <w:r>
        <w:rPr>
          <w:rFonts w:hint="eastAsia"/>
        </w:rPr>
        <w:t>no impact in RAN1</w:t>
      </w:r>
      <w:r>
        <w:t xml:space="preserve">. </w:t>
      </w:r>
      <w:r w:rsidR="00CD36A0">
        <w:t>Additionally,</w:t>
      </w:r>
      <w:r w:rsidR="002D5C2E">
        <w:t xml:space="preserve"> </w:t>
      </w:r>
      <w:r>
        <w:t xml:space="preserve">it </w:t>
      </w:r>
      <w:r w:rsidR="002D5C2E">
        <w:t>aligns with</w:t>
      </w:r>
      <w:r>
        <w:rPr>
          <w:rFonts w:hint="eastAsia"/>
        </w:rPr>
        <w:t xml:space="preserve"> the NOTE in the WID</w:t>
      </w:r>
      <w:r w:rsidR="002D5C2E">
        <w:t xml:space="preserve">, as </w:t>
      </w:r>
      <w:r>
        <w:t xml:space="preserve">it doesn’t require </w:t>
      </w:r>
      <w:r>
        <w:rPr>
          <w:rFonts w:hint="eastAsia"/>
        </w:rPr>
        <w:t>PWS notifications in paging</w:t>
      </w:r>
      <w:r w:rsidR="00ED43A4">
        <w:t>,</w:t>
      </w:r>
      <w:r>
        <w:rPr>
          <w:rFonts w:hint="eastAsia"/>
        </w:rPr>
        <w:t xml:space="preserve"> direct information or system information</w:t>
      </w:r>
      <w:r>
        <w:t xml:space="preserve"> for RRC connected.</w:t>
      </w:r>
      <w:r w:rsidR="002D043C">
        <w:t xml:space="preserve"> </w:t>
      </w:r>
    </w:p>
    <w:p w14:paraId="39737CFE" w14:textId="7833FD50" w:rsidR="009861DF" w:rsidRDefault="00920074" w:rsidP="0085059B">
      <w:pPr>
        <w:spacing w:after="0"/>
        <w:rPr>
          <w:rFonts w:eastAsiaTheme="minorEastAsia"/>
          <w:b/>
        </w:rPr>
      </w:pPr>
      <w:r w:rsidRPr="00C544C2">
        <w:rPr>
          <w:rFonts w:eastAsiaTheme="minorEastAsia"/>
          <w:b/>
        </w:rPr>
        <w:t>Proposal:</w:t>
      </w:r>
      <w:r>
        <w:rPr>
          <w:rFonts w:eastAsiaTheme="minorEastAsia"/>
          <w:b/>
        </w:rPr>
        <w:t xml:space="preserve"> </w:t>
      </w:r>
      <w:r w:rsidR="000475DA">
        <w:rPr>
          <w:rFonts w:eastAsiaTheme="minorEastAsia"/>
          <w:b/>
        </w:rPr>
        <w:t xml:space="preserve">To </w:t>
      </w:r>
      <w:r w:rsidR="008227E4">
        <w:rPr>
          <w:rFonts w:eastAsiaTheme="minorEastAsia"/>
          <w:b/>
        </w:rPr>
        <w:t>deliver PWS</w:t>
      </w:r>
      <w:r w:rsidR="009A7A10">
        <w:rPr>
          <w:rFonts w:eastAsiaTheme="minorEastAsia"/>
          <w:b/>
        </w:rPr>
        <w:t xml:space="preserve"> messages</w:t>
      </w:r>
      <w:r w:rsidR="008227E4">
        <w:rPr>
          <w:rFonts w:eastAsiaTheme="minorEastAsia"/>
          <w:b/>
        </w:rPr>
        <w:t xml:space="preserve"> to </w:t>
      </w:r>
      <w:r w:rsidR="000475DA">
        <w:rPr>
          <w:rFonts w:eastAsiaTheme="minorEastAsia"/>
          <w:b/>
        </w:rPr>
        <w:t xml:space="preserve">UEs </w:t>
      </w:r>
      <w:r w:rsidR="008227E4">
        <w:rPr>
          <w:rFonts w:eastAsiaTheme="minorEastAsia"/>
          <w:b/>
        </w:rPr>
        <w:t>currently in RRC</w:t>
      </w:r>
      <w:r w:rsidR="009A7A10">
        <w:rPr>
          <w:rFonts w:eastAsiaTheme="minorEastAsia"/>
          <w:b/>
        </w:rPr>
        <w:t>_</w:t>
      </w:r>
      <w:r w:rsidR="008227E4">
        <w:rPr>
          <w:rFonts w:eastAsiaTheme="minorEastAsia"/>
          <w:b/>
        </w:rPr>
        <w:t>CONNECTED</w:t>
      </w:r>
      <w:r w:rsidR="000475DA">
        <w:rPr>
          <w:rFonts w:eastAsiaTheme="minorEastAsia"/>
          <w:b/>
        </w:rPr>
        <w:t>, t</w:t>
      </w:r>
      <w:r w:rsidRPr="000475DA">
        <w:rPr>
          <w:rFonts w:eastAsiaTheme="minorEastAsia"/>
          <w:b/>
        </w:rPr>
        <w:t>he network</w:t>
      </w:r>
      <w:r w:rsidR="000475DA">
        <w:rPr>
          <w:rFonts w:eastAsiaTheme="minorEastAsia"/>
          <w:b/>
        </w:rPr>
        <w:t xml:space="preserve"> </w:t>
      </w:r>
      <w:r w:rsidR="002D043C">
        <w:rPr>
          <w:rFonts w:eastAsiaTheme="minorEastAsia"/>
          <w:b/>
        </w:rPr>
        <w:t xml:space="preserve">may </w:t>
      </w:r>
      <w:r w:rsidR="0038095D" w:rsidRPr="000475DA">
        <w:rPr>
          <w:rFonts w:eastAsiaTheme="minorEastAsia"/>
          <w:b/>
        </w:rPr>
        <w:t xml:space="preserve">release </w:t>
      </w:r>
      <w:r w:rsidRPr="000475DA">
        <w:rPr>
          <w:rFonts w:eastAsiaTheme="minorEastAsia"/>
          <w:b/>
        </w:rPr>
        <w:t>the UE</w:t>
      </w:r>
      <w:r w:rsidR="000475DA">
        <w:rPr>
          <w:rFonts w:eastAsiaTheme="minorEastAsia"/>
          <w:b/>
        </w:rPr>
        <w:t>s</w:t>
      </w:r>
      <w:r w:rsidRPr="000475DA">
        <w:rPr>
          <w:rFonts w:eastAsiaTheme="minorEastAsia"/>
          <w:b/>
        </w:rPr>
        <w:t xml:space="preserve"> to RRC</w:t>
      </w:r>
      <w:r w:rsidR="009A7A10">
        <w:rPr>
          <w:rFonts w:eastAsiaTheme="minorEastAsia"/>
          <w:b/>
        </w:rPr>
        <w:t>_</w:t>
      </w:r>
      <w:r w:rsidR="0038095D" w:rsidRPr="000475DA">
        <w:rPr>
          <w:rFonts w:eastAsiaTheme="minorEastAsia"/>
          <w:b/>
        </w:rPr>
        <w:t>IDLE and</w:t>
      </w:r>
      <w:r w:rsidR="00A24DF9" w:rsidRPr="000475DA">
        <w:rPr>
          <w:rFonts w:eastAsiaTheme="minorEastAsia"/>
          <w:b/>
        </w:rPr>
        <w:t xml:space="preserve"> </w:t>
      </w:r>
      <w:r w:rsidR="0038095D" w:rsidRPr="000475DA">
        <w:rPr>
          <w:rFonts w:eastAsiaTheme="minorEastAsia"/>
          <w:b/>
        </w:rPr>
        <w:t>instruct the UE</w:t>
      </w:r>
      <w:r w:rsidR="000475DA">
        <w:rPr>
          <w:rFonts w:eastAsiaTheme="minorEastAsia"/>
          <w:b/>
        </w:rPr>
        <w:t>s</w:t>
      </w:r>
      <w:r w:rsidR="0038095D" w:rsidRPr="000475DA">
        <w:rPr>
          <w:rFonts w:eastAsiaTheme="minorEastAsia"/>
          <w:b/>
        </w:rPr>
        <w:t xml:space="preserve"> to read the PWS SIB(s) immediately after </w:t>
      </w:r>
      <w:bookmarkStart w:id="8" w:name="_Hlk188831841"/>
      <w:r w:rsidR="0038095D" w:rsidRPr="000475DA">
        <w:rPr>
          <w:rFonts w:eastAsiaTheme="minorEastAsia"/>
          <w:b/>
        </w:rPr>
        <w:t>transitioning</w:t>
      </w:r>
      <w:bookmarkEnd w:id="8"/>
      <w:r w:rsidR="0038095D" w:rsidRPr="000475DA">
        <w:rPr>
          <w:rFonts w:eastAsiaTheme="minorEastAsia"/>
          <w:b/>
        </w:rPr>
        <w:t xml:space="preserve"> to RRC</w:t>
      </w:r>
      <w:r w:rsidR="009A7A10">
        <w:rPr>
          <w:rFonts w:eastAsiaTheme="minorEastAsia"/>
          <w:b/>
        </w:rPr>
        <w:t>_</w:t>
      </w:r>
      <w:r w:rsidR="0038095D" w:rsidRPr="000475DA">
        <w:rPr>
          <w:rFonts w:eastAsiaTheme="minorEastAsia"/>
          <w:b/>
        </w:rPr>
        <w:t>IDLE</w:t>
      </w:r>
      <w:r w:rsidR="000475DA">
        <w:rPr>
          <w:rFonts w:eastAsiaTheme="minorEastAsia"/>
          <w:b/>
        </w:rPr>
        <w:t>.</w:t>
      </w:r>
    </w:p>
    <w:bookmarkEnd w:id="6"/>
    <w:bookmarkEnd w:id="7"/>
    <w:p w14:paraId="669EC1BE" w14:textId="59E2E0E7" w:rsidR="0083240D" w:rsidRPr="00250190" w:rsidRDefault="0083240D" w:rsidP="008A74A9">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1D97D7EE" w14:textId="5AD83300" w:rsidR="00C72980" w:rsidRDefault="00B71E3E" w:rsidP="006347EA">
      <w:pPr>
        <w:spacing w:line="240" w:lineRule="auto"/>
        <w:rPr>
          <w:bCs/>
          <w:szCs w:val="22"/>
        </w:rPr>
      </w:pPr>
      <w:r w:rsidRPr="00E706FC">
        <w:t>This contribution discuss</w:t>
      </w:r>
      <w:r>
        <w:t>ed</w:t>
      </w:r>
      <w:r w:rsidRPr="00E706FC">
        <w:t xml:space="preserve"> the </w:t>
      </w:r>
      <w:r w:rsidR="003E33C5">
        <w:t>support of PWS for NB-IoT</w:t>
      </w:r>
      <w:r>
        <w:t>. P</w:t>
      </w:r>
      <w:r w:rsidRPr="00E706FC">
        <w:t>roposals</w:t>
      </w:r>
      <w:r w:rsidRPr="00B71E3E">
        <w:rPr>
          <w:bCs/>
          <w:szCs w:val="22"/>
        </w:rPr>
        <w:t xml:space="preserve"> are summarized as follows</w:t>
      </w:r>
      <w:r w:rsidR="00C72980">
        <w:rPr>
          <w:bCs/>
          <w:szCs w:val="22"/>
        </w:rPr>
        <w:t>:</w:t>
      </w:r>
    </w:p>
    <w:p w14:paraId="33297260" w14:textId="480DF214" w:rsidR="00EE6B6D" w:rsidRPr="000475DA" w:rsidRDefault="008227E4" w:rsidP="000475DA">
      <w:pPr>
        <w:spacing w:after="0"/>
        <w:rPr>
          <w:rFonts w:eastAsiaTheme="minorEastAsia"/>
          <w:b/>
        </w:rPr>
      </w:pPr>
      <w:r w:rsidRPr="00C544C2">
        <w:rPr>
          <w:rFonts w:eastAsiaTheme="minorEastAsia"/>
          <w:b/>
        </w:rPr>
        <w:t>Proposal:</w:t>
      </w:r>
      <w:r>
        <w:rPr>
          <w:rFonts w:eastAsiaTheme="minorEastAsia"/>
          <w:b/>
        </w:rPr>
        <w:t xml:space="preserve"> To deliver PWS </w:t>
      </w:r>
      <w:r w:rsidR="009A7A10">
        <w:rPr>
          <w:rFonts w:eastAsiaTheme="minorEastAsia"/>
          <w:b/>
        </w:rPr>
        <w:t xml:space="preserve">messages </w:t>
      </w:r>
      <w:r>
        <w:rPr>
          <w:rFonts w:eastAsiaTheme="minorEastAsia"/>
          <w:b/>
        </w:rPr>
        <w:t>to UEs currently in RRC</w:t>
      </w:r>
      <w:r w:rsidR="009A7A10">
        <w:rPr>
          <w:rFonts w:eastAsiaTheme="minorEastAsia"/>
          <w:b/>
        </w:rPr>
        <w:t>_</w:t>
      </w:r>
      <w:r>
        <w:rPr>
          <w:rFonts w:eastAsiaTheme="minorEastAsia"/>
          <w:b/>
        </w:rPr>
        <w:t>CONNECTED, t</w:t>
      </w:r>
      <w:r w:rsidRPr="000475DA">
        <w:rPr>
          <w:rFonts w:eastAsiaTheme="minorEastAsia"/>
          <w:b/>
        </w:rPr>
        <w:t>he network</w:t>
      </w:r>
      <w:r>
        <w:rPr>
          <w:rFonts w:eastAsiaTheme="minorEastAsia"/>
          <w:b/>
        </w:rPr>
        <w:t xml:space="preserve"> </w:t>
      </w:r>
      <w:r w:rsidR="002D043C">
        <w:rPr>
          <w:rFonts w:eastAsiaTheme="minorEastAsia"/>
          <w:b/>
        </w:rPr>
        <w:t>may</w:t>
      </w:r>
      <w:r w:rsidRPr="000475DA">
        <w:rPr>
          <w:rFonts w:eastAsiaTheme="minorEastAsia"/>
          <w:b/>
        </w:rPr>
        <w:t xml:space="preserve"> release the UE</w:t>
      </w:r>
      <w:r>
        <w:rPr>
          <w:rFonts w:eastAsiaTheme="minorEastAsia"/>
          <w:b/>
        </w:rPr>
        <w:t>s</w:t>
      </w:r>
      <w:r w:rsidRPr="000475DA">
        <w:rPr>
          <w:rFonts w:eastAsiaTheme="minorEastAsia"/>
          <w:b/>
        </w:rPr>
        <w:t xml:space="preserve"> to RRC</w:t>
      </w:r>
      <w:r w:rsidR="009A7A10">
        <w:rPr>
          <w:rFonts w:eastAsiaTheme="minorEastAsia"/>
          <w:b/>
        </w:rPr>
        <w:t>_</w:t>
      </w:r>
      <w:r w:rsidRPr="000475DA">
        <w:rPr>
          <w:rFonts w:eastAsiaTheme="minorEastAsia"/>
          <w:b/>
        </w:rPr>
        <w:t>IDLE and instruct the UE</w:t>
      </w:r>
      <w:r>
        <w:rPr>
          <w:rFonts w:eastAsiaTheme="minorEastAsia"/>
          <w:b/>
        </w:rPr>
        <w:t>s</w:t>
      </w:r>
      <w:r w:rsidRPr="000475DA">
        <w:rPr>
          <w:rFonts w:eastAsiaTheme="minorEastAsia"/>
          <w:b/>
        </w:rPr>
        <w:t xml:space="preserve"> to read the PWS SIB(s) immediately after transitioning to RRC</w:t>
      </w:r>
      <w:r w:rsidR="009A7A10">
        <w:rPr>
          <w:rFonts w:eastAsiaTheme="minorEastAsia"/>
          <w:b/>
        </w:rPr>
        <w:t>_</w:t>
      </w:r>
      <w:r w:rsidRPr="000475DA">
        <w:rPr>
          <w:rFonts w:eastAsiaTheme="minorEastAsia"/>
          <w:b/>
        </w:rPr>
        <w:t>IDLE</w:t>
      </w:r>
      <w:r>
        <w:rPr>
          <w:rFonts w:eastAsiaTheme="minorEastAsia"/>
          <w:b/>
        </w:rPr>
        <w:t>.</w:t>
      </w:r>
    </w:p>
    <w:p w14:paraId="3CF38219" w14:textId="77777777" w:rsidR="0083240D" w:rsidRDefault="0083240D" w:rsidP="008A74A9">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55873533" w14:textId="69952092" w:rsidR="008B5DF5" w:rsidRDefault="00A83106" w:rsidP="003E33C5">
      <w:pPr>
        <w:pStyle w:val="Reference"/>
      </w:pPr>
      <w:bookmarkStart w:id="9" w:name="_Ref173907065"/>
      <w:r w:rsidRPr="003C456B">
        <w:t>RP-2</w:t>
      </w:r>
      <w:r w:rsidR="00292A07">
        <w:t>43278</w:t>
      </w:r>
      <w:r w:rsidR="0083240D">
        <w:t>,</w:t>
      </w:r>
      <w:r w:rsidRPr="00A83106">
        <w:t xml:space="preserve"> </w:t>
      </w:r>
      <w:r w:rsidR="003C456B" w:rsidRPr="003C456B">
        <w:t xml:space="preserve">Revised WID: Non-Terrestrial Networks (NTN) for </w:t>
      </w:r>
      <w:r w:rsidR="003E33C5">
        <w:t xml:space="preserve">IoT </w:t>
      </w:r>
      <w:r w:rsidR="003C456B" w:rsidRPr="003C456B">
        <w:t>Phase 3</w:t>
      </w:r>
      <w:r w:rsidR="0083240D" w:rsidRPr="00EC185C">
        <w:t>.</w:t>
      </w:r>
      <w:bookmarkEnd w:id="9"/>
    </w:p>
    <w:p w14:paraId="190F6B11" w14:textId="77E0C173" w:rsidR="008D36C6" w:rsidRPr="00775E95" w:rsidRDefault="008D36C6" w:rsidP="003E33C5">
      <w:pPr>
        <w:pStyle w:val="Reference"/>
      </w:pPr>
      <w:r>
        <w:t xml:space="preserve">3GPP TS </w:t>
      </w:r>
      <w:r w:rsidRPr="008D36C6">
        <w:t>22.268</w:t>
      </w:r>
      <w:r>
        <w:t xml:space="preserve">, </w:t>
      </w:r>
      <w:r w:rsidRPr="008D36C6">
        <w:t>Public Warning System (PWS) requirements</w:t>
      </w:r>
    </w:p>
    <w:sectPr w:rsidR="008D36C6" w:rsidRPr="00775E95" w:rsidSect="0083240D">
      <w:headerReference w:type="even" r:id="rId10"/>
      <w:footerReference w:type="even" r:id="rId11"/>
      <w:headerReference w:type="first" r:id="rId12"/>
      <w:footerReference w:type="first" r:id="rId13"/>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1D293" w14:textId="77777777" w:rsidR="009003D6" w:rsidRDefault="009003D6">
      <w:r>
        <w:separator/>
      </w:r>
    </w:p>
  </w:endnote>
  <w:endnote w:type="continuationSeparator" w:id="0">
    <w:p w14:paraId="385290AA" w14:textId="77777777" w:rsidR="009003D6" w:rsidRDefault="00900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SimHei"/>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KaiTi_GB2312">
    <w:altName w:val="楷体_GB2312"/>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97CC" w14:textId="77777777" w:rsidR="00152B8F" w:rsidRDefault="00152B8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85E3D" w14:textId="77777777" w:rsidR="00152B8F" w:rsidRDefault="00152B8F">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9BD63" w14:textId="77777777" w:rsidR="009003D6" w:rsidRDefault="009003D6">
      <w:r>
        <w:separator/>
      </w:r>
    </w:p>
  </w:footnote>
  <w:footnote w:type="continuationSeparator" w:id="0">
    <w:p w14:paraId="321DE186" w14:textId="77777777" w:rsidR="009003D6" w:rsidRDefault="00900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8BBCC" w14:textId="77777777" w:rsidR="00152B8F" w:rsidRDefault="00152B8F">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634C6" w14:textId="77777777" w:rsidR="00152B8F" w:rsidRDefault="00152B8F">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7E3937"/>
    <w:multiLevelType w:val="hybridMultilevel"/>
    <w:tmpl w:val="B7EA1B0A"/>
    <w:lvl w:ilvl="0" w:tplc="C5EED5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2F7439E"/>
    <w:multiLevelType w:val="hybridMultilevel"/>
    <w:tmpl w:val="8FD2DAB6"/>
    <w:lvl w:ilvl="0" w:tplc="80305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8ED609A"/>
    <w:multiLevelType w:val="hybridMultilevel"/>
    <w:tmpl w:val="9A983E0A"/>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AD7A6B"/>
    <w:multiLevelType w:val="hybridMultilevel"/>
    <w:tmpl w:val="48AC3BEC"/>
    <w:lvl w:ilvl="0" w:tplc="F85C7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2B300F"/>
    <w:multiLevelType w:val="hybridMultilevel"/>
    <w:tmpl w:val="DB1ED21C"/>
    <w:lvl w:ilvl="0" w:tplc="3AEE1E28">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5607EB"/>
    <w:multiLevelType w:val="hybridMultilevel"/>
    <w:tmpl w:val="8576690E"/>
    <w:lvl w:ilvl="0" w:tplc="DFA0A4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B6E727B"/>
    <w:multiLevelType w:val="hybridMultilevel"/>
    <w:tmpl w:val="A4840EC4"/>
    <w:lvl w:ilvl="0" w:tplc="3AEE1E28">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5F85F23"/>
    <w:multiLevelType w:val="hybridMultilevel"/>
    <w:tmpl w:val="55225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EAC8AF62"/>
    <w:lvl w:ilvl="0" w:tplc="08090001">
      <w:start w:val="1"/>
      <w:numFmt w:val="bullet"/>
      <w:lvlText w:val=""/>
      <w:lvlJc w:val="left"/>
      <w:pPr>
        <w:ind w:left="646" w:hanging="360"/>
      </w:pPr>
      <w:rPr>
        <w:rFonts w:ascii="Symbol" w:hAnsi="Symbol" w:hint="default"/>
      </w:rPr>
    </w:lvl>
    <w:lvl w:ilvl="1" w:tplc="04190003">
      <w:start w:val="1"/>
      <w:numFmt w:val="bullet"/>
      <w:lvlText w:val="o"/>
      <w:lvlJc w:val="left"/>
      <w:pPr>
        <w:ind w:left="1366" w:hanging="360"/>
      </w:pPr>
      <w:rPr>
        <w:rFonts w:ascii="Courier New" w:hAnsi="Courier New" w:cs="Courier New" w:hint="default"/>
      </w:rPr>
    </w:lvl>
    <w:lvl w:ilvl="2" w:tplc="04190005">
      <w:start w:val="1"/>
      <w:numFmt w:val="bullet"/>
      <w:lvlText w:val=""/>
      <w:lvlJc w:val="left"/>
      <w:pPr>
        <w:ind w:left="2086" w:hanging="360"/>
      </w:pPr>
      <w:rPr>
        <w:rFonts w:ascii="Wingdings" w:hAnsi="Wingdings" w:hint="default"/>
      </w:rPr>
    </w:lvl>
    <w:lvl w:ilvl="3" w:tplc="04190001">
      <w:start w:val="1"/>
      <w:numFmt w:val="bullet"/>
      <w:lvlText w:val=""/>
      <w:lvlJc w:val="left"/>
      <w:pPr>
        <w:ind w:left="2806" w:hanging="360"/>
      </w:pPr>
      <w:rPr>
        <w:rFonts w:ascii="Symbol" w:hAnsi="Symbol" w:hint="default"/>
      </w:rPr>
    </w:lvl>
    <w:lvl w:ilvl="4" w:tplc="04190003">
      <w:start w:val="1"/>
      <w:numFmt w:val="bullet"/>
      <w:lvlText w:val="o"/>
      <w:lvlJc w:val="left"/>
      <w:pPr>
        <w:ind w:left="3526" w:hanging="360"/>
      </w:pPr>
      <w:rPr>
        <w:rFonts w:ascii="Courier New" w:hAnsi="Courier New" w:cs="Courier New" w:hint="default"/>
      </w:rPr>
    </w:lvl>
    <w:lvl w:ilvl="5" w:tplc="04190005">
      <w:start w:val="1"/>
      <w:numFmt w:val="bullet"/>
      <w:lvlText w:val=""/>
      <w:lvlJc w:val="left"/>
      <w:pPr>
        <w:ind w:left="4246" w:hanging="360"/>
      </w:pPr>
      <w:rPr>
        <w:rFonts w:ascii="Wingdings" w:hAnsi="Wingdings" w:hint="default"/>
      </w:rPr>
    </w:lvl>
    <w:lvl w:ilvl="6" w:tplc="04190001">
      <w:start w:val="1"/>
      <w:numFmt w:val="bullet"/>
      <w:lvlText w:val=""/>
      <w:lvlJc w:val="left"/>
      <w:pPr>
        <w:ind w:left="4966" w:hanging="360"/>
      </w:pPr>
      <w:rPr>
        <w:rFonts w:ascii="Symbol" w:hAnsi="Symbol" w:hint="default"/>
      </w:rPr>
    </w:lvl>
    <w:lvl w:ilvl="7" w:tplc="04190003">
      <w:start w:val="1"/>
      <w:numFmt w:val="bullet"/>
      <w:lvlText w:val="o"/>
      <w:lvlJc w:val="left"/>
      <w:pPr>
        <w:ind w:left="5686" w:hanging="360"/>
      </w:pPr>
      <w:rPr>
        <w:rFonts w:ascii="Courier New" w:hAnsi="Courier New" w:cs="Courier New" w:hint="default"/>
      </w:rPr>
    </w:lvl>
    <w:lvl w:ilvl="8" w:tplc="04190005">
      <w:start w:val="1"/>
      <w:numFmt w:val="bullet"/>
      <w:lvlText w:val=""/>
      <w:lvlJc w:val="left"/>
      <w:pPr>
        <w:ind w:left="6406" w:hanging="360"/>
      </w:pPr>
      <w:rPr>
        <w:rFonts w:ascii="Wingdings" w:hAnsi="Wingdings" w:hint="default"/>
      </w:rPr>
    </w:lvl>
  </w:abstractNum>
  <w:abstractNum w:abstractNumId="20" w15:restartNumberingAfterBreak="0">
    <w:nsid w:val="5A53669C"/>
    <w:multiLevelType w:val="hybridMultilevel"/>
    <w:tmpl w:val="305467EE"/>
    <w:lvl w:ilvl="0" w:tplc="3AEE1E28">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FF2887"/>
    <w:multiLevelType w:val="hybridMultilevel"/>
    <w:tmpl w:val="8C0C1BA6"/>
    <w:lvl w:ilvl="0" w:tplc="107485C8">
      <w:numFmt w:val="bullet"/>
      <w:lvlText w:val="-"/>
      <w:lvlJc w:val="left"/>
      <w:pPr>
        <w:ind w:left="420" w:hanging="420"/>
      </w:pPr>
      <w:rPr>
        <w:rFonts w:ascii="Times New Roman" w:eastAsia="SimSun" w:hAnsi="Times New Roman" w:cs="Times New Roman" w:hint="default"/>
      </w:rPr>
    </w:lvl>
    <w:lvl w:ilvl="1" w:tplc="107485C8">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4519EE"/>
    <w:multiLevelType w:val="hybridMultilevel"/>
    <w:tmpl w:val="F3A0E02E"/>
    <w:lvl w:ilvl="0" w:tplc="534E67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4" w15:restartNumberingAfterBreak="0">
    <w:nsid w:val="63562196"/>
    <w:multiLevelType w:val="hybridMultilevel"/>
    <w:tmpl w:val="4F9A178E"/>
    <w:lvl w:ilvl="0" w:tplc="9D2061AE">
      <w:start w:val="6"/>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A95BC1"/>
    <w:multiLevelType w:val="hybridMultilevel"/>
    <w:tmpl w:val="2362CA92"/>
    <w:lvl w:ilvl="0" w:tplc="F864D50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DCF5B24"/>
    <w:multiLevelType w:val="hybridMultilevel"/>
    <w:tmpl w:val="88B2A962"/>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317535"/>
    <w:multiLevelType w:val="hybridMultilevel"/>
    <w:tmpl w:val="AA80A58E"/>
    <w:lvl w:ilvl="0" w:tplc="107485C8">
      <w:numFmt w:val="bullet"/>
      <w:lvlText w:val="-"/>
      <w:lvlJc w:val="left"/>
      <w:pPr>
        <w:ind w:left="420" w:hanging="420"/>
      </w:pPr>
      <w:rPr>
        <w:rFonts w:ascii="Times New Roman" w:eastAsia="SimSun" w:hAnsi="Times New Roman" w:cs="Times New Roman" w:hint="default"/>
      </w:rPr>
    </w:lvl>
    <w:lvl w:ilvl="1" w:tplc="107485C8">
      <w:numFmt w:val="bullet"/>
      <w:lvlText w:val="-"/>
      <w:lvlJc w:val="left"/>
      <w:pPr>
        <w:ind w:left="840" w:hanging="420"/>
      </w:pPr>
      <w:rPr>
        <w:rFonts w:ascii="Times New Roman" w:eastAsia="SimSun" w:hAnsi="Times New Roman" w:cs="Times New Roman" w:hint="default"/>
      </w:rPr>
    </w:lvl>
    <w:lvl w:ilvl="2" w:tplc="107485C8">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31"/>
  </w:num>
  <w:num w:numId="4">
    <w:abstractNumId w:val="14"/>
  </w:num>
  <w:num w:numId="5">
    <w:abstractNumId w:val="26"/>
  </w:num>
  <w:num w:numId="6">
    <w:abstractNumId w:val="0"/>
  </w:num>
  <w:num w:numId="7">
    <w:abstractNumId w:val="4"/>
  </w:num>
  <w:num w:numId="8">
    <w:abstractNumId w:val="21"/>
  </w:num>
  <w:num w:numId="9">
    <w:abstractNumId w:val="30"/>
  </w:num>
  <w:num w:numId="10">
    <w:abstractNumId w:val="18"/>
  </w:num>
  <w:num w:numId="11">
    <w:abstractNumId w:val="17"/>
  </w:num>
  <w:num w:numId="12">
    <w:abstractNumId w:val="15"/>
  </w:num>
  <w:num w:numId="13">
    <w:abstractNumId w:val="19"/>
  </w:num>
  <w:num w:numId="14">
    <w:abstractNumId w:val="22"/>
  </w:num>
  <w:num w:numId="15">
    <w:abstractNumId w:val="27"/>
  </w:num>
  <w:num w:numId="16">
    <w:abstractNumId w:val="6"/>
  </w:num>
  <w:num w:numId="17">
    <w:abstractNumId w:val="3"/>
  </w:num>
  <w:num w:numId="18">
    <w:abstractNumId w:val="18"/>
  </w:num>
  <w:num w:numId="19">
    <w:abstractNumId w:val="8"/>
  </w:num>
  <w:num w:numId="20">
    <w:abstractNumId w:val="32"/>
  </w:num>
  <w:num w:numId="21">
    <w:abstractNumId w:val="25"/>
  </w:num>
  <w:num w:numId="22">
    <w:abstractNumId w:val="29"/>
  </w:num>
  <w:num w:numId="23">
    <w:abstractNumId w:val="7"/>
  </w:num>
  <w:num w:numId="24">
    <w:abstractNumId w:val="1"/>
  </w:num>
  <w:num w:numId="25">
    <w:abstractNumId w:val="2"/>
  </w:num>
  <w:num w:numId="26">
    <w:abstractNumId w:val="28"/>
  </w:num>
  <w:num w:numId="27">
    <w:abstractNumId w:val="16"/>
  </w:num>
  <w:num w:numId="28">
    <w:abstractNumId w:val="11"/>
  </w:num>
  <w:num w:numId="29">
    <w:abstractNumId w:val="18"/>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4"/>
  </w:num>
  <w:num w:numId="33">
    <w:abstractNumId w:val="9"/>
  </w:num>
  <w:num w:numId="34">
    <w:abstractNumId w:val="13"/>
  </w:num>
  <w:num w:numId="35">
    <w:abstractNumId w:val="20"/>
  </w:num>
  <w:num w:numId="3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1518"/>
    <w:rsid w:val="00001F98"/>
    <w:rsid w:val="00005D3B"/>
    <w:rsid w:val="00007163"/>
    <w:rsid w:val="0001550B"/>
    <w:rsid w:val="00015A37"/>
    <w:rsid w:val="00022B09"/>
    <w:rsid w:val="00031DF9"/>
    <w:rsid w:val="00032900"/>
    <w:rsid w:val="00032AAD"/>
    <w:rsid w:val="00035469"/>
    <w:rsid w:val="00036825"/>
    <w:rsid w:val="000407C6"/>
    <w:rsid w:val="000475DA"/>
    <w:rsid w:val="0004772C"/>
    <w:rsid w:val="00047ED3"/>
    <w:rsid w:val="00050852"/>
    <w:rsid w:val="00061B39"/>
    <w:rsid w:val="00061C65"/>
    <w:rsid w:val="00061C72"/>
    <w:rsid w:val="000640A7"/>
    <w:rsid w:val="00066595"/>
    <w:rsid w:val="00070911"/>
    <w:rsid w:val="000721F1"/>
    <w:rsid w:val="0007342E"/>
    <w:rsid w:val="00074099"/>
    <w:rsid w:val="00074860"/>
    <w:rsid w:val="00076CDF"/>
    <w:rsid w:val="000835BC"/>
    <w:rsid w:val="00091CF8"/>
    <w:rsid w:val="00091E9D"/>
    <w:rsid w:val="000924E1"/>
    <w:rsid w:val="0009724E"/>
    <w:rsid w:val="00097A25"/>
    <w:rsid w:val="00097AE1"/>
    <w:rsid w:val="000A1DBF"/>
    <w:rsid w:val="000A5038"/>
    <w:rsid w:val="000A55FC"/>
    <w:rsid w:val="000A7428"/>
    <w:rsid w:val="000B1743"/>
    <w:rsid w:val="000B1862"/>
    <w:rsid w:val="000B3353"/>
    <w:rsid w:val="000B6189"/>
    <w:rsid w:val="000B667E"/>
    <w:rsid w:val="000C0C60"/>
    <w:rsid w:val="000C2545"/>
    <w:rsid w:val="000C2F19"/>
    <w:rsid w:val="000C434E"/>
    <w:rsid w:val="000D5F49"/>
    <w:rsid w:val="000E7F41"/>
    <w:rsid w:val="000F203A"/>
    <w:rsid w:val="000F3106"/>
    <w:rsid w:val="000F755F"/>
    <w:rsid w:val="00103621"/>
    <w:rsid w:val="00105915"/>
    <w:rsid w:val="0010695B"/>
    <w:rsid w:val="001134C9"/>
    <w:rsid w:val="00116A38"/>
    <w:rsid w:val="0012175A"/>
    <w:rsid w:val="0012642E"/>
    <w:rsid w:val="00126871"/>
    <w:rsid w:val="00126F7D"/>
    <w:rsid w:val="00127774"/>
    <w:rsid w:val="001302E8"/>
    <w:rsid w:val="00130C5E"/>
    <w:rsid w:val="00136433"/>
    <w:rsid w:val="00142D84"/>
    <w:rsid w:val="001459FA"/>
    <w:rsid w:val="001464F7"/>
    <w:rsid w:val="0014698A"/>
    <w:rsid w:val="0015168C"/>
    <w:rsid w:val="00152B8F"/>
    <w:rsid w:val="00162BB3"/>
    <w:rsid w:val="00162F8E"/>
    <w:rsid w:val="00166684"/>
    <w:rsid w:val="001678EA"/>
    <w:rsid w:val="0017501F"/>
    <w:rsid w:val="0017703C"/>
    <w:rsid w:val="00181BB6"/>
    <w:rsid w:val="00182E6F"/>
    <w:rsid w:val="00184DB3"/>
    <w:rsid w:val="00184E42"/>
    <w:rsid w:val="00185C51"/>
    <w:rsid w:val="00197682"/>
    <w:rsid w:val="001B01E1"/>
    <w:rsid w:val="001B75B4"/>
    <w:rsid w:val="001B7CBB"/>
    <w:rsid w:val="001D3CBB"/>
    <w:rsid w:val="001D3EF1"/>
    <w:rsid w:val="001D5F97"/>
    <w:rsid w:val="001D6BD2"/>
    <w:rsid w:val="001D7A35"/>
    <w:rsid w:val="001E5DDF"/>
    <w:rsid w:val="001E7184"/>
    <w:rsid w:val="001E7D60"/>
    <w:rsid w:val="001F3A7D"/>
    <w:rsid w:val="001F411A"/>
    <w:rsid w:val="001F685C"/>
    <w:rsid w:val="002027EF"/>
    <w:rsid w:val="002106B1"/>
    <w:rsid w:val="002120E7"/>
    <w:rsid w:val="00212C6A"/>
    <w:rsid w:val="00213C01"/>
    <w:rsid w:val="00213DE8"/>
    <w:rsid w:val="00217F5F"/>
    <w:rsid w:val="0022006A"/>
    <w:rsid w:val="00220505"/>
    <w:rsid w:val="00222D14"/>
    <w:rsid w:val="002242F4"/>
    <w:rsid w:val="0022514C"/>
    <w:rsid w:val="00225A55"/>
    <w:rsid w:val="002339D4"/>
    <w:rsid w:val="002351BC"/>
    <w:rsid w:val="002357EF"/>
    <w:rsid w:val="002469D2"/>
    <w:rsid w:val="002478E0"/>
    <w:rsid w:val="0025674E"/>
    <w:rsid w:val="0026693D"/>
    <w:rsid w:val="00270EE1"/>
    <w:rsid w:val="0027763C"/>
    <w:rsid w:val="00281E0D"/>
    <w:rsid w:val="00284D32"/>
    <w:rsid w:val="00287697"/>
    <w:rsid w:val="00292A07"/>
    <w:rsid w:val="00292F37"/>
    <w:rsid w:val="00295AA4"/>
    <w:rsid w:val="002A0EF4"/>
    <w:rsid w:val="002A3C41"/>
    <w:rsid w:val="002B1389"/>
    <w:rsid w:val="002B5616"/>
    <w:rsid w:val="002B5847"/>
    <w:rsid w:val="002B6534"/>
    <w:rsid w:val="002B7969"/>
    <w:rsid w:val="002B79D1"/>
    <w:rsid w:val="002C03C6"/>
    <w:rsid w:val="002C13D8"/>
    <w:rsid w:val="002C4527"/>
    <w:rsid w:val="002C54DF"/>
    <w:rsid w:val="002C5E30"/>
    <w:rsid w:val="002D043C"/>
    <w:rsid w:val="002D0635"/>
    <w:rsid w:val="002D0D93"/>
    <w:rsid w:val="002D1932"/>
    <w:rsid w:val="002D2AE9"/>
    <w:rsid w:val="002D5C2E"/>
    <w:rsid w:val="002E005E"/>
    <w:rsid w:val="002E4742"/>
    <w:rsid w:val="002F066C"/>
    <w:rsid w:val="002F2128"/>
    <w:rsid w:val="002F4783"/>
    <w:rsid w:val="0030216B"/>
    <w:rsid w:val="0030221C"/>
    <w:rsid w:val="0030477B"/>
    <w:rsid w:val="003053E1"/>
    <w:rsid w:val="003055E4"/>
    <w:rsid w:val="003065DF"/>
    <w:rsid w:val="00307760"/>
    <w:rsid w:val="00312E02"/>
    <w:rsid w:val="003211BE"/>
    <w:rsid w:val="00322719"/>
    <w:rsid w:val="003253B5"/>
    <w:rsid w:val="003310D3"/>
    <w:rsid w:val="003324B5"/>
    <w:rsid w:val="003329C9"/>
    <w:rsid w:val="00333AFF"/>
    <w:rsid w:val="003425C2"/>
    <w:rsid w:val="00342B0D"/>
    <w:rsid w:val="00343E55"/>
    <w:rsid w:val="003449F8"/>
    <w:rsid w:val="00347B07"/>
    <w:rsid w:val="00351872"/>
    <w:rsid w:val="00362C05"/>
    <w:rsid w:val="00362C9B"/>
    <w:rsid w:val="00365AC4"/>
    <w:rsid w:val="00367504"/>
    <w:rsid w:val="003772E1"/>
    <w:rsid w:val="0038095D"/>
    <w:rsid w:val="00384B3B"/>
    <w:rsid w:val="00385400"/>
    <w:rsid w:val="00385900"/>
    <w:rsid w:val="00393032"/>
    <w:rsid w:val="00395997"/>
    <w:rsid w:val="0039653D"/>
    <w:rsid w:val="003968A7"/>
    <w:rsid w:val="003A1D28"/>
    <w:rsid w:val="003A29D2"/>
    <w:rsid w:val="003B0499"/>
    <w:rsid w:val="003B2658"/>
    <w:rsid w:val="003B304B"/>
    <w:rsid w:val="003B3881"/>
    <w:rsid w:val="003B48F5"/>
    <w:rsid w:val="003B7D2F"/>
    <w:rsid w:val="003C08DD"/>
    <w:rsid w:val="003C2F6A"/>
    <w:rsid w:val="003C456B"/>
    <w:rsid w:val="003C4EA3"/>
    <w:rsid w:val="003C7300"/>
    <w:rsid w:val="003C74F8"/>
    <w:rsid w:val="003D01C0"/>
    <w:rsid w:val="003D31CD"/>
    <w:rsid w:val="003D40AE"/>
    <w:rsid w:val="003E1228"/>
    <w:rsid w:val="003E1A45"/>
    <w:rsid w:val="003E326C"/>
    <w:rsid w:val="003E33C5"/>
    <w:rsid w:val="003F07F5"/>
    <w:rsid w:val="003F1973"/>
    <w:rsid w:val="003F4E25"/>
    <w:rsid w:val="003F4ECC"/>
    <w:rsid w:val="00401261"/>
    <w:rsid w:val="004017C3"/>
    <w:rsid w:val="00403272"/>
    <w:rsid w:val="00412E08"/>
    <w:rsid w:val="00413B2B"/>
    <w:rsid w:val="00414EDA"/>
    <w:rsid w:val="00415013"/>
    <w:rsid w:val="00417971"/>
    <w:rsid w:val="00417AD1"/>
    <w:rsid w:val="00420B97"/>
    <w:rsid w:val="0042351F"/>
    <w:rsid w:val="00423AA1"/>
    <w:rsid w:val="00425243"/>
    <w:rsid w:val="00425F62"/>
    <w:rsid w:val="00426415"/>
    <w:rsid w:val="00430423"/>
    <w:rsid w:val="00431944"/>
    <w:rsid w:val="00433CA7"/>
    <w:rsid w:val="00436227"/>
    <w:rsid w:val="00436C04"/>
    <w:rsid w:val="00437BD0"/>
    <w:rsid w:val="004429B2"/>
    <w:rsid w:val="00442F69"/>
    <w:rsid w:val="00452FF9"/>
    <w:rsid w:val="00454AAD"/>
    <w:rsid w:val="004573AC"/>
    <w:rsid w:val="004617B8"/>
    <w:rsid w:val="004617C3"/>
    <w:rsid w:val="004618B5"/>
    <w:rsid w:val="00466C54"/>
    <w:rsid w:val="0047585D"/>
    <w:rsid w:val="0047728B"/>
    <w:rsid w:val="00477906"/>
    <w:rsid w:val="004809D6"/>
    <w:rsid w:val="00481B3E"/>
    <w:rsid w:val="00481DE7"/>
    <w:rsid w:val="004820CF"/>
    <w:rsid w:val="00482F4E"/>
    <w:rsid w:val="004833FF"/>
    <w:rsid w:val="00487278"/>
    <w:rsid w:val="00487EFB"/>
    <w:rsid w:val="00490030"/>
    <w:rsid w:val="0049043E"/>
    <w:rsid w:val="00493A17"/>
    <w:rsid w:val="00495BA3"/>
    <w:rsid w:val="00496347"/>
    <w:rsid w:val="00496392"/>
    <w:rsid w:val="00496730"/>
    <w:rsid w:val="004A0AC3"/>
    <w:rsid w:val="004A147E"/>
    <w:rsid w:val="004A32E7"/>
    <w:rsid w:val="004B0875"/>
    <w:rsid w:val="004B2E2A"/>
    <w:rsid w:val="004B57D9"/>
    <w:rsid w:val="004B70D7"/>
    <w:rsid w:val="004B730F"/>
    <w:rsid w:val="004C4854"/>
    <w:rsid w:val="004C76C7"/>
    <w:rsid w:val="004D37FB"/>
    <w:rsid w:val="004E12CF"/>
    <w:rsid w:val="004E484A"/>
    <w:rsid w:val="004E6328"/>
    <w:rsid w:val="004F0A0E"/>
    <w:rsid w:val="004F1E08"/>
    <w:rsid w:val="00500576"/>
    <w:rsid w:val="0050192C"/>
    <w:rsid w:val="005028F4"/>
    <w:rsid w:val="00505B54"/>
    <w:rsid w:val="00506DCF"/>
    <w:rsid w:val="00507D43"/>
    <w:rsid w:val="00512463"/>
    <w:rsid w:val="00513050"/>
    <w:rsid w:val="005158A6"/>
    <w:rsid w:val="00515A23"/>
    <w:rsid w:val="005201F5"/>
    <w:rsid w:val="00520E8A"/>
    <w:rsid w:val="0052233A"/>
    <w:rsid w:val="00522F78"/>
    <w:rsid w:val="00523189"/>
    <w:rsid w:val="00523418"/>
    <w:rsid w:val="00524F7E"/>
    <w:rsid w:val="005255F2"/>
    <w:rsid w:val="00525C9A"/>
    <w:rsid w:val="00526778"/>
    <w:rsid w:val="00526BED"/>
    <w:rsid w:val="00531D47"/>
    <w:rsid w:val="00534911"/>
    <w:rsid w:val="005375E1"/>
    <w:rsid w:val="00542515"/>
    <w:rsid w:val="005461A5"/>
    <w:rsid w:val="00551226"/>
    <w:rsid w:val="005528F2"/>
    <w:rsid w:val="0056093B"/>
    <w:rsid w:val="00561625"/>
    <w:rsid w:val="005657CC"/>
    <w:rsid w:val="005673F9"/>
    <w:rsid w:val="005772F8"/>
    <w:rsid w:val="00582735"/>
    <w:rsid w:val="0058419D"/>
    <w:rsid w:val="005907D5"/>
    <w:rsid w:val="00592DF6"/>
    <w:rsid w:val="005A1FCF"/>
    <w:rsid w:val="005A277F"/>
    <w:rsid w:val="005A3EF1"/>
    <w:rsid w:val="005A52EB"/>
    <w:rsid w:val="005A6972"/>
    <w:rsid w:val="005B24D1"/>
    <w:rsid w:val="005B36D9"/>
    <w:rsid w:val="005B39BF"/>
    <w:rsid w:val="005B4075"/>
    <w:rsid w:val="005C4258"/>
    <w:rsid w:val="005C662C"/>
    <w:rsid w:val="005C7771"/>
    <w:rsid w:val="005D259C"/>
    <w:rsid w:val="005D43A4"/>
    <w:rsid w:val="005D5905"/>
    <w:rsid w:val="005E216D"/>
    <w:rsid w:val="005E3027"/>
    <w:rsid w:val="005E3E19"/>
    <w:rsid w:val="005E4FBA"/>
    <w:rsid w:val="005F4383"/>
    <w:rsid w:val="005F4B04"/>
    <w:rsid w:val="005F6C7E"/>
    <w:rsid w:val="00601B5F"/>
    <w:rsid w:val="00613DB7"/>
    <w:rsid w:val="00622A65"/>
    <w:rsid w:val="00623AA1"/>
    <w:rsid w:val="00623F24"/>
    <w:rsid w:val="0062474C"/>
    <w:rsid w:val="00624E54"/>
    <w:rsid w:val="00625F10"/>
    <w:rsid w:val="00630E0C"/>
    <w:rsid w:val="00634265"/>
    <w:rsid w:val="006347EA"/>
    <w:rsid w:val="0063556E"/>
    <w:rsid w:val="00640E93"/>
    <w:rsid w:val="006424B1"/>
    <w:rsid w:val="00643971"/>
    <w:rsid w:val="0065430F"/>
    <w:rsid w:val="0065572F"/>
    <w:rsid w:val="00655F5A"/>
    <w:rsid w:val="0065791B"/>
    <w:rsid w:val="00662C39"/>
    <w:rsid w:val="006706B1"/>
    <w:rsid w:val="00670BBE"/>
    <w:rsid w:val="0067248E"/>
    <w:rsid w:val="006733D4"/>
    <w:rsid w:val="00674057"/>
    <w:rsid w:val="00687237"/>
    <w:rsid w:val="006A2D89"/>
    <w:rsid w:val="006A3616"/>
    <w:rsid w:val="006A46CA"/>
    <w:rsid w:val="006A6326"/>
    <w:rsid w:val="006B0EC9"/>
    <w:rsid w:val="006B4B60"/>
    <w:rsid w:val="006B5FC4"/>
    <w:rsid w:val="006C3E4A"/>
    <w:rsid w:val="006D2D25"/>
    <w:rsid w:val="006D5CA0"/>
    <w:rsid w:val="006D6064"/>
    <w:rsid w:val="006D7E82"/>
    <w:rsid w:val="006E4AA8"/>
    <w:rsid w:val="006E6CD7"/>
    <w:rsid w:val="007013FA"/>
    <w:rsid w:val="00701AB9"/>
    <w:rsid w:val="007051C5"/>
    <w:rsid w:val="00706729"/>
    <w:rsid w:val="00707473"/>
    <w:rsid w:val="00713E72"/>
    <w:rsid w:val="00714E3D"/>
    <w:rsid w:val="007162BA"/>
    <w:rsid w:val="00717272"/>
    <w:rsid w:val="0072343F"/>
    <w:rsid w:val="0072663D"/>
    <w:rsid w:val="00733D82"/>
    <w:rsid w:val="00737294"/>
    <w:rsid w:val="00740275"/>
    <w:rsid w:val="00740C16"/>
    <w:rsid w:val="007418C5"/>
    <w:rsid w:val="007420DF"/>
    <w:rsid w:val="00744D59"/>
    <w:rsid w:val="00745516"/>
    <w:rsid w:val="0074679E"/>
    <w:rsid w:val="00747009"/>
    <w:rsid w:val="00747014"/>
    <w:rsid w:val="0075012D"/>
    <w:rsid w:val="00755DCA"/>
    <w:rsid w:val="0076177A"/>
    <w:rsid w:val="00762C85"/>
    <w:rsid w:val="00763A35"/>
    <w:rsid w:val="00764FFF"/>
    <w:rsid w:val="00765FBB"/>
    <w:rsid w:val="00770FD4"/>
    <w:rsid w:val="00772B8E"/>
    <w:rsid w:val="007738AF"/>
    <w:rsid w:val="00775BB5"/>
    <w:rsid w:val="00775D45"/>
    <w:rsid w:val="00775E95"/>
    <w:rsid w:val="00780144"/>
    <w:rsid w:val="007813DD"/>
    <w:rsid w:val="00781EED"/>
    <w:rsid w:val="007907E2"/>
    <w:rsid w:val="007909F4"/>
    <w:rsid w:val="007915B6"/>
    <w:rsid w:val="00792E5C"/>
    <w:rsid w:val="00792F79"/>
    <w:rsid w:val="00794E57"/>
    <w:rsid w:val="007A2D4B"/>
    <w:rsid w:val="007A482B"/>
    <w:rsid w:val="007A6695"/>
    <w:rsid w:val="007B209A"/>
    <w:rsid w:val="007B2E92"/>
    <w:rsid w:val="007C2970"/>
    <w:rsid w:val="007C3721"/>
    <w:rsid w:val="007C67FA"/>
    <w:rsid w:val="007C6D7A"/>
    <w:rsid w:val="007D5317"/>
    <w:rsid w:val="007E137C"/>
    <w:rsid w:val="007E6827"/>
    <w:rsid w:val="007F133C"/>
    <w:rsid w:val="007F5C26"/>
    <w:rsid w:val="007F6B62"/>
    <w:rsid w:val="0080182F"/>
    <w:rsid w:val="008031C1"/>
    <w:rsid w:val="00805AA9"/>
    <w:rsid w:val="00813DA9"/>
    <w:rsid w:val="008142D1"/>
    <w:rsid w:val="008145DC"/>
    <w:rsid w:val="00815559"/>
    <w:rsid w:val="0081775C"/>
    <w:rsid w:val="008227E4"/>
    <w:rsid w:val="00822D21"/>
    <w:rsid w:val="00823D15"/>
    <w:rsid w:val="0083018C"/>
    <w:rsid w:val="0083240D"/>
    <w:rsid w:val="00832BDD"/>
    <w:rsid w:val="00834BD1"/>
    <w:rsid w:val="0083745A"/>
    <w:rsid w:val="00837F63"/>
    <w:rsid w:val="0084312B"/>
    <w:rsid w:val="00846C21"/>
    <w:rsid w:val="0085059B"/>
    <w:rsid w:val="00851173"/>
    <w:rsid w:val="008552A0"/>
    <w:rsid w:val="008570FE"/>
    <w:rsid w:val="00860ECD"/>
    <w:rsid w:val="008619AF"/>
    <w:rsid w:val="00861D8F"/>
    <w:rsid w:val="008704E3"/>
    <w:rsid w:val="00871131"/>
    <w:rsid w:val="008732D7"/>
    <w:rsid w:val="00874D81"/>
    <w:rsid w:val="0088558D"/>
    <w:rsid w:val="0088640C"/>
    <w:rsid w:val="00887505"/>
    <w:rsid w:val="00887E2B"/>
    <w:rsid w:val="00890A04"/>
    <w:rsid w:val="00894991"/>
    <w:rsid w:val="00895311"/>
    <w:rsid w:val="00895440"/>
    <w:rsid w:val="0089610E"/>
    <w:rsid w:val="0089640D"/>
    <w:rsid w:val="008971FD"/>
    <w:rsid w:val="008A0C27"/>
    <w:rsid w:val="008A1451"/>
    <w:rsid w:val="008A2EF6"/>
    <w:rsid w:val="008A5A73"/>
    <w:rsid w:val="008A679A"/>
    <w:rsid w:val="008A7343"/>
    <w:rsid w:val="008A74A9"/>
    <w:rsid w:val="008B5075"/>
    <w:rsid w:val="008B5DF5"/>
    <w:rsid w:val="008C10E9"/>
    <w:rsid w:val="008C330E"/>
    <w:rsid w:val="008D3288"/>
    <w:rsid w:val="008D36C6"/>
    <w:rsid w:val="008D4FCB"/>
    <w:rsid w:val="008E3AC1"/>
    <w:rsid w:val="008E5003"/>
    <w:rsid w:val="008F091E"/>
    <w:rsid w:val="008F74D7"/>
    <w:rsid w:val="008F7BF2"/>
    <w:rsid w:val="009003D6"/>
    <w:rsid w:val="009010F3"/>
    <w:rsid w:val="009027C9"/>
    <w:rsid w:val="00902CF2"/>
    <w:rsid w:val="00904D33"/>
    <w:rsid w:val="00906905"/>
    <w:rsid w:val="00907149"/>
    <w:rsid w:val="00910B3E"/>
    <w:rsid w:val="00915E85"/>
    <w:rsid w:val="009168E3"/>
    <w:rsid w:val="00917394"/>
    <w:rsid w:val="00920074"/>
    <w:rsid w:val="00921BED"/>
    <w:rsid w:val="00921C1E"/>
    <w:rsid w:val="00922E5B"/>
    <w:rsid w:val="00923858"/>
    <w:rsid w:val="00932B03"/>
    <w:rsid w:val="00935091"/>
    <w:rsid w:val="00936F83"/>
    <w:rsid w:val="00942425"/>
    <w:rsid w:val="009445B1"/>
    <w:rsid w:val="00946987"/>
    <w:rsid w:val="00950CAA"/>
    <w:rsid w:val="009626F9"/>
    <w:rsid w:val="00965748"/>
    <w:rsid w:val="009707AF"/>
    <w:rsid w:val="0097481A"/>
    <w:rsid w:val="009765A9"/>
    <w:rsid w:val="0098191B"/>
    <w:rsid w:val="0098471D"/>
    <w:rsid w:val="00985CAB"/>
    <w:rsid w:val="009861DF"/>
    <w:rsid w:val="00993342"/>
    <w:rsid w:val="0099632C"/>
    <w:rsid w:val="00996E81"/>
    <w:rsid w:val="009977CF"/>
    <w:rsid w:val="009A0B72"/>
    <w:rsid w:val="009A625A"/>
    <w:rsid w:val="009A7A10"/>
    <w:rsid w:val="009B4169"/>
    <w:rsid w:val="009B63BC"/>
    <w:rsid w:val="009B734C"/>
    <w:rsid w:val="009B79E5"/>
    <w:rsid w:val="009C2EDA"/>
    <w:rsid w:val="009C56A9"/>
    <w:rsid w:val="009C6B55"/>
    <w:rsid w:val="009D08D2"/>
    <w:rsid w:val="009D39DB"/>
    <w:rsid w:val="009D76CD"/>
    <w:rsid w:val="009D7DBA"/>
    <w:rsid w:val="009E00CC"/>
    <w:rsid w:val="009E030E"/>
    <w:rsid w:val="009E67EA"/>
    <w:rsid w:val="009E6A48"/>
    <w:rsid w:val="009F0294"/>
    <w:rsid w:val="009F31BB"/>
    <w:rsid w:val="009F5215"/>
    <w:rsid w:val="009F7CEE"/>
    <w:rsid w:val="00A018BC"/>
    <w:rsid w:val="00A02A6C"/>
    <w:rsid w:val="00A06638"/>
    <w:rsid w:val="00A06670"/>
    <w:rsid w:val="00A1171A"/>
    <w:rsid w:val="00A14551"/>
    <w:rsid w:val="00A16114"/>
    <w:rsid w:val="00A17C76"/>
    <w:rsid w:val="00A23752"/>
    <w:rsid w:val="00A24DF9"/>
    <w:rsid w:val="00A24F07"/>
    <w:rsid w:val="00A3407F"/>
    <w:rsid w:val="00A35410"/>
    <w:rsid w:val="00A419CA"/>
    <w:rsid w:val="00A44D7E"/>
    <w:rsid w:val="00A5182F"/>
    <w:rsid w:val="00A5545E"/>
    <w:rsid w:val="00A57E54"/>
    <w:rsid w:val="00A60EC2"/>
    <w:rsid w:val="00A62DCF"/>
    <w:rsid w:val="00A62E28"/>
    <w:rsid w:val="00A63B85"/>
    <w:rsid w:val="00A7045E"/>
    <w:rsid w:val="00A70C59"/>
    <w:rsid w:val="00A71E71"/>
    <w:rsid w:val="00A72F9F"/>
    <w:rsid w:val="00A73138"/>
    <w:rsid w:val="00A80525"/>
    <w:rsid w:val="00A83106"/>
    <w:rsid w:val="00A83F36"/>
    <w:rsid w:val="00A902ED"/>
    <w:rsid w:val="00A94C7E"/>
    <w:rsid w:val="00A96A96"/>
    <w:rsid w:val="00AA6460"/>
    <w:rsid w:val="00AB149B"/>
    <w:rsid w:val="00AB4666"/>
    <w:rsid w:val="00AB78BE"/>
    <w:rsid w:val="00AC024C"/>
    <w:rsid w:val="00AC1CD2"/>
    <w:rsid w:val="00AC722E"/>
    <w:rsid w:val="00AC7565"/>
    <w:rsid w:val="00AD0291"/>
    <w:rsid w:val="00AD3731"/>
    <w:rsid w:val="00AD74BB"/>
    <w:rsid w:val="00AE1291"/>
    <w:rsid w:val="00AE2B99"/>
    <w:rsid w:val="00AE3438"/>
    <w:rsid w:val="00AE6391"/>
    <w:rsid w:val="00AE7831"/>
    <w:rsid w:val="00AE7FA9"/>
    <w:rsid w:val="00AF0047"/>
    <w:rsid w:val="00AF207C"/>
    <w:rsid w:val="00AF3C9D"/>
    <w:rsid w:val="00AF6074"/>
    <w:rsid w:val="00B0166E"/>
    <w:rsid w:val="00B071A6"/>
    <w:rsid w:val="00B11475"/>
    <w:rsid w:val="00B12027"/>
    <w:rsid w:val="00B21A0A"/>
    <w:rsid w:val="00B33EE2"/>
    <w:rsid w:val="00B34792"/>
    <w:rsid w:val="00B35055"/>
    <w:rsid w:val="00B37293"/>
    <w:rsid w:val="00B405A4"/>
    <w:rsid w:val="00B412B9"/>
    <w:rsid w:val="00B44643"/>
    <w:rsid w:val="00B44871"/>
    <w:rsid w:val="00B523F0"/>
    <w:rsid w:val="00B5273B"/>
    <w:rsid w:val="00B53811"/>
    <w:rsid w:val="00B61636"/>
    <w:rsid w:val="00B622A5"/>
    <w:rsid w:val="00B703B9"/>
    <w:rsid w:val="00B71E3E"/>
    <w:rsid w:val="00B726E8"/>
    <w:rsid w:val="00B733FE"/>
    <w:rsid w:val="00B73943"/>
    <w:rsid w:val="00B74733"/>
    <w:rsid w:val="00B87E75"/>
    <w:rsid w:val="00B9087B"/>
    <w:rsid w:val="00B92185"/>
    <w:rsid w:val="00B94AB6"/>
    <w:rsid w:val="00B95230"/>
    <w:rsid w:val="00B972B7"/>
    <w:rsid w:val="00BA28D5"/>
    <w:rsid w:val="00BA71DB"/>
    <w:rsid w:val="00BA7C17"/>
    <w:rsid w:val="00BB074B"/>
    <w:rsid w:val="00BB3DFB"/>
    <w:rsid w:val="00BB4ECF"/>
    <w:rsid w:val="00BB758F"/>
    <w:rsid w:val="00BB7BE4"/>
    <w:rsid w:val="00BB7ED7"/>
    <w:rsid w:val="00BC0198"/>
    <w:rsid w:val="00BC731A"/>
    <w:rsid w:val="00BC7611"/>
    <w:rsid w:val="00BD1CC9"/>
    <w:rsid w:val="00BD20F7"/>
    <w:rsid w:val="00BD2738"/>
    <w:rsid w:val="00BD6A55"/>
    <w:rsid w:val="00BE0FF3"/>
    <w:rsid w:val="00BE75DD"/>
    <w:rsid w:val="00BF1432"/>
    <w:rsid w:val="00BF1CAE"/>
    <w:rsid w:val="00BF72AC"/>
    <w:rsid w:val="00C0050E"/>
    <w:rsid w:val="00C04598"/>
    <w:rsid w:val="00C04A9F"/>
    <w:rsid w:val="00C11B4F"/>
    <w:rsid w:val="00C16808"/>
    <w:rsid w:val="00C23E24"/>
    <w:rsid w:val="00C24C4A"/>
    <w:rsid w:val="00C256A3"/>
    <w:rsid w:val="00C265D2"/>
    <w:rsid w:val="00C27008"/>
    <w:rsid w:val="00C3325C"/>
    <w:rsid w:val="00C36CB8"/>
    <w:rsid w:val="00C43281"/>
    <w:rsid w:val="00C44BE5"/>
    <w:rsid w:val="00C460BA"/>
    <w:rsid w:val="00C5074F"/>
    <w:rsid w:val="00C53AFA"/>
    <w:rsid w:val="00C544C2"/>
    <w:rsid w:val="00C5630C"/>
    <w:rsid w:val="00C61EC6"/>
    <w:rsid w:val="00C63C2D"/>
    <w:rsid w:val="00C643E3"/>
    <w:rsid w:val="00C66B59"/>
    <w:rsid w:val="00C726CF"/>
    <w:rsid w:val="00C72980"/>
    <w:rsid w:val="00C7480A"/>
    <w:rsid w:val="00C76816"/>
    <w:rsid w:val="00C80C78"/>
    <w:rsid w:val="00C80DA7"/>
    <w:rsid w:val="00C849DA"/>
    <w:rsid w:val="00C86EB6"/>
    <w:rsid w:val="00C8790A"/>
    <w:rsid w:val="00C92F43"/>
    <w:rsid w:val="00C95C65"/>
    <w:rsid w:val="00CA1361"/>
    <w:rsid w:val="00CA4761"/>
    <w:rsid w:val="00CA4934"/>
    <w:rsid w:val="00CB1E60"/>
    <w:rsid w:val="00CB33A7"/>
    <w:rsid w:val="00CB3BBF"/>
    <w:rsid w:val="00CB5988"/>
    <w:rsid w:val="00CC1469"/>
    <w:rsid w:val="00CC4F4A"/>
    <w:rsid w:val="00CC6E79"/>
    <w:rsid w:val="00CD2D08"/>
    <w:rsid w:val="00CD36A0"/>
    <w:rsid w:val="00CE43BA"/>
    <w:rsid w:val="00CF2A31"/>
    <w:rsid w:val="00CF3EA6"/>
    <w:rsid w:val="00CF4202"/>
    <w:rsid w:val="00D03554"/>
    <w:rsid w:val="00D07F0F"/>
    <w:rsid w:val="00D103BF"/>
    <w:rsid w:val="00D11A3A"/>
    <w:rsid w:val="00D12AC8"/>
    <w:rsid w:val="00D15C7C"/>
    <w:rsid w:val="00D16C4C"/>
    <w:rsid w:val="00D17CA9"/>
    <w:rsid w:val="00D20FAD"/>
    <w:rsid w:val="00D23139"/>
    <w:rsid w:val="00D23CD4"/>
    <w:rsid w:val="00D24AC7"/>
    <w:rsid w:val="00D27F0D"/>
    <w:rsid w:val="00D35898"/>
    <w:rsid w:val="00D36A8D"/>
    <w:rsid w:val="00D40786"/>
    <w:rsid w:val="00D4358A"/>
    <w:rsid w:val="00D45049"/>
    <w:rsid w:val="00D52337"/>
    <w:rsid w:val="00D5462D"/>
    <w:rsid w:val="00D56095"/>
    <w:rsid w:val="00D60674"/>
    <w:rsid w:val="00D65131"/>
    <w:rsid w:val="00D66E38"/>
    <w:rsid w:val="00D71C12"/>
    <w:rsid w:val="00D750F4"/>
    <w:rsid w:val="00D81733"/>
    <w:rsid w:val="00D84F2B"/>
    <w:rsid w:val="00D86A03"/>
    <w:rsid w:val="00D87114"/>
    <w:rsid w:val="00D92300"/>
    <w:rsid w:val="00D93C2C"/>
    <w:rsid w:val="00D9448C"/>
    <w:rsid w:val="00DA7551"/>
    <w:rsid w:val="00DB2C2F"/>
    <w:rsid w:val="00DC1349"/>
    <w:rsid w:val="00DC3AA1"/>
    <w:rsid w:val="00DC6461"/>
    <w:rsid w:val="00DD1189"/>
    <w:rsid w:val="00DD23BC"/>
    <w:rsid w:val="00DD5FEC"/>
    <w:rsid w:val="00DD7858"/>
    <w:rsid w:val="00DD7F67"/>
    <w:rsid w:val="00DE05E3"/>
    <w:rsid w:val="00DE4B65"/>
    <w:rsid w:val="00DF6F01"/>
    <w:rsid w:val="00E0566F"/>
    <w:rsid w:val="00E17609"/>
    <w:rsid w:val="00E209DB"/>
    <w:rsid w:val="00E20B7E"/>
    <w:rsid w:val="00E27BFC"/>
    <w:rsid w:val="00E27DB4"/>
    <w:rsid w:val="00E32376"/>
    <w:rsid w:val="00E35D77"/>
    <w:rsid w:val="00E3718C"/>
    <w:rsid w:val="00E404E3"/>
    <w:rsid w:val="00E4141F"/>
    <w:rsid w:val="00E43A9B"/>
    <w:rsid w:val="00E46172"/>
    <w:rsid w:val="00E5051D"/>
    <w:rsid w:val="00E50530"/>
    <w:rsid w:val="00E51EBD"/>
    <w:rsid w:val="00E54021"/>
    <w:rsid w:val="00E6259E"/>
    <w:rsid w:val="00E63208"/>
    <w:rsid w:val="00E644D5"/>
    <w:rsid w:val="00E65052"/>
    <w:rsid w:val="00E718C6"/>
    <w:rsid w:val="00E7358F"/>
    <w:rsid w:val="00E7730B"/>
    <w:rsid w:val="00E8018A"/>
    <w:rsid w:val="00E81373"/>
    <w:rsid w:val="00E954D5"/>
    <w:rsid w:val="00E97CAF"/>
    <w:rsid w:val="00EA00F4"/>
    <w:rsid w:val="00EA1E2F"/>
    <w:rsid w:val="00EA3BE0"/>
    <w:rsid w:val="00EA6721"/>
    <w:rsid w:val="00EB0292"/>
    <w:rsid w:val="00EB08F9"/>
    <w:rsid w:val="00EB4FF2"/>
    <w:rsid w:val="00EB5787"/>
    <w:rsid w:val="00EC2985"/>
    <w:rsid w:val="00EC3E78"/>
    <w:rsid w:val="00ED23E2"/>
    <w:rsid w:val="00ED43A4"/>
    <w:rsid w:val="00ED6038"/>
    <w:rsid w:val="00EE2438"/>
    <w:rsid w:val="00EE3C6F"/>
    <w:rsid w:val="00EE487E"/>
    <w:rsid w:val="00EE58DB"/>
    <w:rsid w:val="00EE6B6D"/>
    <w:rsid w:val="00EF1460"/>
    <w:rsid w:val="00EF1FDD"/>
    <w:rsid w:val="00EF32C6"/>
    <w:rsid w:val="00EF5943"/>
    <w:rsid w:val="00EF71B4"/>
    <w:rsid w:val="00F0047D"/>
    <w:rsid w:val="00F00A5C"/>
    <w:rsid w:val="00F00E8C"/>
    <w:rsid w:val="00F0130E"/>
    <w:rsid w:val="00F023ED"/>
    <w:rsid w:val="00F05047"/>
    <w:rsid w:val="00F06EC9"/>
    <w:rsid w:val="00F1055A"/>
    <w:rsid w:val="00F10EE6"/>
    <w:rsid w:val="00F12877"/>
    <w:rsid w:val="00F15E81"/>
    <w:rsid w:val="00F207A4"/>
    <w:rsid w:val="00F21A45"/>
    <w:rsid w:val="00F253D7"/>
    <w:rsid w:val="00F30E26"/>
    <w:rsid w:val="00F32081"/>
    <w:rsid w:val="00F332EF"/>
    <w:rsid w:val="00F34CB2"/>
    <w:rsid w:val="00F356C2"/>
    <w:rsid w:val="00F37F6E"/>
    <w:rsid w:val="00F40E2A"/>
    <w:rsid w:val="00F43C87"/>
    <w:rsid w:val="00F440B7"/>
    <w:rsid w:val="00F440FD"/>
    <w:rsid w:val="00F46080"/>
    <w:rsid w:val="00F46A81"/>
    <w:rsid w:val="00F52B5A"/>
    <w:rsid w:val="00F52FDC"/>
    <w:rsid w:val="00F54A3B"/>
    <w:rsid w:val="00F6348C"/>
    <w:rsid w:val="00F640BD"/>
    <w:rsid w:val="00F738F5"/>
    <w:rsid w:val="00F73F25"/>
    <w:rsid w:val="00F76001"/>
    <w:rsid w:val="00F7757C"/>
    <w:rsid w:val="00F81F5E"/>
    <w:rsid w:val="00F90CB2"/>
    <w:rsid w:val="00F91D6B"/>
    <w:rsid w:val="00F93410"/>
    <w:rsid w:val="00F93819"/>
    <w:rsid w:val="00F93DDA"/>
    <w:rsid w:val="00F963B7"/>
    <w:rsid w:val="00FA070B"/>
    <w:rsid w:val="00FA1959"/>
    <w:rsid w:val="00FA3D0D"/>
    <w:rsid w:val="00FB4CCE"/>
    <w:rsid w:val="00FC1454"/>
    <w:rsid w:val="00FC1C9E"/>
    <w:rsid w:val="00FD3726"/>
    <w:rsid w:val="00FD44A9"/>
    <w:rsid w:val="00FD52B5"/>
    <w:rsid w:val="00FD6EEA"/>
    <w:rsid w:val="00FE203F"/>
    <w:rsid w:val="00FE22A7"/>
    <w:rsid w:val="00FE2696"/>
    <w:rsid w:val="00FE38D9"/>
    <w:rsid w:val="00FE685F"/>
    <w:rsid w:val="00FE6F6B"/>
    <w:rsid w:val="00FE7B30"/>
    <w:rsid w:val="00FF304F"/>
    <w:rsid w:val="00FF4B0C"/>
    <w:rsid w:val="00FF75E4"/>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75DA"/>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Heading2"/>
    <w:link w:val="Heading1Char"/>
    <w:qFormat/>
    <w:pPr>
      <w:keepNext/>
      <w:numPr>
        <w:numId w:val="2"/>
      </w:numPr>
      <w:spacing w:before="240" w:after="240"/>
      <w:jc w:val="both"/>
      <w:outlineLvl w:val="0"/>
    </w:pPr>
    <w:rPr>
      <w:rFonts w:ascii="Arial" w:eastAsia="SimHei" w:hAnsi="Arial"/>
      <w:b/>
      <w:sz w:val="32"/>
      <w:szCs w:val="32"/>
    </w:rPr>
  </w:style>
  <w:style w:type="paragraph" w:styleId="Heading2">
    <w:name w:val="heading 2"/>
    <w:next w:val="Normal"/>
    <w:qFormat/>
    <w:rsid w:val="00CF4202"/>
    <w:pPr>
      <w:keepNext/>
      <w:numPr>
        <w:ilvl w:val="1"/>
        <w:numId w:val="2"/>
      </w:numPr>
      <w:spacing w:before="120" w:after="120"/>
      <w:jc w:val="both"/>
      <w:outlineLvl w:val="1"/>
    </w:pPr>
    <w:rPr>
      <w:rFonts w:ascii="Arial" w:eastAsia="SimHei" w:hAnsi="Arial"/>
      <w:sz w:val="28"/>
      <w:szCs w:val="24"/>
    </w:rPr>
  </w:style>
  <w:style w:type="paragraph" w:styleId="Heading3">
    <w:name w:val="heading 3"/>
    <w:basedOn w:val="Normal"/>
    <w:next w:val="Normal"/>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paragraph" w:styleId="Heading4">
    <w:name w:val="heading 4"/>
    <w:basedOn w:val="Normal"/>
    <w:next w:val="Normal"/>
    <w:link w:val="Heading4Char"/>
    <w:semiHidden/>
    <w:unhideWhenUsed/>
    <w:qFormat/>
    <w:rsid w:val="00F10EE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tabs>
        <w:tab w:val="num" w:pos="360"/>
      </w:tabs>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uiPriority w:val="99"/>
    <w:semiHidden/>
    <w:rsid w:val="0083240D"/>
    <w:rPr>
      <w:sz w:val="16"/>
      <w:szCs w:val="16"/>
    </w:rPr>
  </w:style>
  <w:style w:type="paragraph" w:styleId="CommentText">
    <w:name w:val="annotation text"/>
    <w:basedOn w:val="Normal"/>
    <w:link w:val="CommentTextChar"/>
    <w:uiPriority w:val="99"/>
    <w:rsid w:val="0083240D"/>
  </w:style>
  <w:style w:type="character" w:customStyle="1" w:styleId="CommentTextChar">
    <w:name w:val="Comment Text Char"/>
    <w:basedOn w:val="DefaultParagraphFont"/>
    <w:link w:val="CommentText"/>
    <w:uiPriority w:val="99"/>
    <w:rsid w:val="0083240D"/>
    <w:rPr>
      <w:sz w:val="22"/>
    </w:rPr>
  </w:style>
  <w:style w:type="paragraph" w:styleId="Title">
    <w:name w:val="Title"/>
    <w:aliases w:val="标题2"/>
    <w:basedOn w:val="Heading2"/>
    <w:link w:val="TitleChar"/>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
    <w:basedOn w:val="DefaultParagraphFont"/>
    <w:link w:val="Heading1"/>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Strong">
    <w:name w:val="Strong"/>
    <w:basedOn w:val="DefaultParagraphFont"/>
    <w:uiPriority w:val="22"/>
    <w:qFormat/>
    <w:rsid w:val="0072343F"/>
    <w:rPr>
      <w:b/>
      <w:bCs/>
    </w:rPr>
  </w:style>
  <w:style w:type="character" w:customStyle="1" w:styleId="Heading4Char">
    <w:name w:val="Heading 4 Char"/>
    <w:basedOn w:val="DefaultParagraphFont"/>
    <w:link w:val="Heading4"/>
    <w:semiHidden/>
    <w:rsid w:val="00F10EE6"/>
    <w:rPr>
      <w:rFonts w:asciiTheme="majorHAnsi" w:eastAsiaTheme="majorEastAsia" w:hAnsiTheme="majorHAnsi" w:cstheme="majorBidi"/>
      <w:b/>
      <w:bCs/>
      <w:sz w:val="28"/>
      <w:szCs w:val="28"/>
    </w:rPr>
  </w:style>
  <w:style w:type="paragraph" w:styleId="CommentSubject">
    <w:name w:val="annotation subject"/>
    <w:basedOn w:val="CommentText"/>
    <w:next w:val="CommentText"/>
    <w:link w:val="CommentSubjectChar"/>
    <w:semiHidden/>
    <w:unhideWhenUsed/>
    <w:rsid w:val="00222D14"/>
    <w:pPr>
      <w:jc w:val="left"/>
    </w:pPr>
    <w:rPr>
      <w:b/>
      <w:bCs/>
    </w:rPr>
  </w:style>
  <w:style w:type="character" w:customStyle="1" w:styleId="CommentSubjectChar">
    <w:name w:val="Comment Subject Char"/>
    <w:basedOn w:val="CommentTextChar"/>
    <w:link w:val="CommentSubject"/>
    <w:semiHidden/>
    <w:rsid w:val="00222D14"/>
    <w:rPr>
      <w:b/>
      <w:bCs/>
      <w:sz w:val="22"/>
    </w:rPr>
  </w:style>
  <w:style w:type="paragraph" w:styleId="Revision">
    <w:name w:val="Revision"/>
    <w:hidden/>
    <w:uiPriority w:val="99"/>
    <w:semiHidden/>
    <w:rsid w:val="00367504"/>
    <w:rPr>
      <w:sz w:val="22"/>
    </w:rPr>
  </w:style>
  <w:style w:type="paragraph" w:customStyle="1" w:styleId="Doc-text2">
    <w:name w:val="Doc-text2"/>
    <w:basedOn w:val="Normal"/>
    <w:link w:val="Doc-text2Char"/>
    <w:qFormat/>
    <w:rsid w:val="00507D43"/>
    <w:pPr>
      <w:tabs>
        <w:tab w:val="left" w:pos="1622"/>
      </w:tabs>
      <w:overflowPunct/>
      <w:autoSpaceDE/>
      <w:autoSpaceDN/>
      <w:adjustRightInd/>
      <w:spacing w:after="0" w:line="240" w:lineRule="auto"/>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sid w:val="00507D43"/>
    <w:rPr>
      <w:rFonts w:ascii="Arial" w:eastAsia="MS Mincho" w:hAnsi="Arial"/>
      <w:szCs w:val="24"/>
      <w:lang w:val="en-GB" w:eastAsia="en-GB"/>
    </w:rPr>
  </w:style>
  <w:style w:type="paragraph" w:customStyle="1" w:styleId="CRCoverPage">
    <w:name w:val="CR Cover Page"/>
    <w:link w:val="CRCoverPageZchn"/>
    <w:qFormat/>
    <w:rsid w:val="00C726CF"/>
    <w:pPr>
      <w:spacing w:after="120"/>
    </w:pPr>
    <w:rPr>
      <w:rFonts w:ascii="Arial" w:hAnsi="Arial"/>
      <w:lang w:val="en-GB" w:eastAsia="en-US"/>
    </w:rPr>
  </w:style>
  <w:style w:type="character" w:customStyle="1" w:styleId="CRCoverPageZchn">
    <w:name w:val="CR Cover Page Zchn"/>
    <w:link w:val="CRCoverPage"/>
    <w:qFormat/>
    <w:locked/>
    <w:rsid w:val="00C726CF"/>
    <w:rPr>
      <w:rFonts w:ascii="Arial" w:hAnsi="Arial"/>
      <w:lang w:val="en-GB" w:eastAsia="en-US"/>
    </w:rPr>
  </w:style>
  <w:style w:type="character" w:styleId="Hyperlink">
    <w:name w:val="Hyperlink"/>
    <w:qFormat/>
    <w:rsid w:val="003C456B"/>
    <w:rPr>
      <w:color w:val="0000FF"/>
      <w:u w:val="single"/>
    </w:rPr>
  </w:style>
  <w:style w:type="paragraph" w:customStyle="1" w:styleId="B1">
    <w:name w:val="B1"/>
    <w:basedOn w:val="List"/>
    <w:link w:val="B1Char1"/>
    <w:rsid w:val="0088640C"/>
    <w:pPr>
      <w:spacing w:line="240" w:lineRule="auto"/>
      <w:ind w:left="568" w:firstLineChars="0" w:hanging="284"/>
      <w:contextualSpacing w:val="0"/>
      <w:jc w:val="left"/>
    </w:pPr>
    <w:rPr>
      <w:rFonts w:eastAsia="Times New Roman"/>
      <w:sz w:val="20"/>
      <w:lang w:val="en-GB" w:eastAsia="en-GB"/>
    </w:rPr>
  </w:style>
  <w:style w:type="character" w:customStyle="1" w:styleId="B1Char1">
    <w:name w:val="B1 Char1"/>
    <w:link w:val="B1"/>
    <w:qFormat/>
    <w:rsid w:val="0088640C"/>
    <w:rPr>
      <w:rFonts w:eastAsia="Times New Roman"/>
      <w:lang w:val="en-GB" w:eastAsia="en-GB"/>
    </w:rPr>
  </w:style>
  <w:style w:type="paragraph" w:styleId="List">
    <w:name w:val="List"/>
    <w:basedOn w:val="Normal"/>
    <w:semiHidden/>
    <w:unhideWhenUsed/>
    <w:rsid w:val="0088640C"/>
    <w:pPr>
      <w:ind w:left="200" w:hangingChars="200" w:hanging="200"/>
      <w:contextualSpacing/>
    </w:pPr>
  </w:style>
  <w:style w:type="paragraph" w:customStyle="1" w:styleId="EmailDiscussion">
    <w:name w:val="EmailDiscussion"/>
    <w:basedOn w:val="Normal"/>
    <w:next w:val="Normal"/>
    <w:qFormat/>
    <w:rsid w:val="0088640C"/>
    <w:pPr>
      <w:numPr>
        <w:numId w:val="27"/>
      </w:numPr>
      <w:overflowPunct/>
      <w:autoSpaceDE/>
      <w:autoSpaceDN/>
      <w:adjustRightInd/>
      <w:spacing w:before="40" w:after="0" w:line="240" w:lineRule="auto"/>
      <w:jc w:val="left"/>
      <w:textAlignment w:val="auto"/>
    </w:pPr>
    <w:rPr>
      <w:rFonts w:ascii="Arial" w:eastAsia="MS Mincho" w:hAnsi="Arial"/>
      <w:b/>
      <w:sz w:val="20"/>
      <w:szCs w:val="24"/>
      <w:lang w:val="en-GB" w:eastAsia="en-GB"/>
    </w:rPr>
  </w:style>
  <w:style w:type="character" w:customStyle="1" w:styleId="B2Char">
    <w:name w:val="B2 Char"/>
    <w:link w:val="B2"/>
    <w:qFormat/>
    <w:locked/>
    <w:rsid w:val="00430423"/>
    <w:rPr>
      <w:rFonts w:eastAsia="Times New Roman"/>
    </w:rPr>
  </w:style>
  <w:style w:type="paragraph" w:customStyle="1" w:styleId="B2">
    <w:name w:val="B2"/>
    <w:basedOn w:val="List2"/>
    <w:link w:val="B2Char"/>
    <w:qFormat/>
    <w:rsid w:val="00430423"/>
    <w:pPr>
      <w:spacing w:line="240" w:lineRule="auto"/>
      <w:ind w:leftChars="0" w:left="851" w:firstLineChars="0" w:hanging="284"/>
      <w:contextualSpacing w:val="0"/>
      <w:jc w:val="left"/>
      <w:textAlignment w:val="auto"/>
    </w:pPr>
    <w:rPr>
      <w:rFonts w:eastAsia="Times New Roman"/>
      <w:sz w:val="20"/>
    </w:rPr>
  </w:style>
  <w:style w:type="character" w:customStyle="1" w:styleId="B3Char2">
    <w:name w:val="B3 Char2"/>
    <w:link w:val="B3"/>
    <w:qFormat/>
    <w:locked/>
    <w:rsid w:val="00430423"/>
    <w:rPr>
      <w:rFonts w:eastAsia="Times New Roman"/>
    </w:rPr>
  </w:style>
  <w:style w:type="paragraph" w:customStyle="1" w:styleId="B3">
    <w:name w:val="B3"/>
    <w:basedOn w:val="List3"/>
    <w:link w:val="B3Char2"/>
    <w:qFormat/>
    <w:rsid w:val="00430423"/>
    <w:pPr>
      <w:spacing w:line="240" w:lineRule="auto"/>
      <w:ind w:leftChars="0" w:left="1135" w:firstLineChars="0" w:hanging="284"/>
      <w:contextualSpacing w:val="0"/>
      <w:jc w:val="left"/>
      <w:textAlignment w:val="auto"/>
    </w:pPr>
    <w:rPr>
      <w:rFonts w:eastAsia="Times New Roman"/>
      <w:sz w:val="20"/>
    </w:rPr>
  </w:style>
  <w:style w:type="paragraph" w:styleId="List2">
    <w:name w:val="List 2"/>
    <w:basedOn w:val="Normal"/>
    <w:semiHidden/>
    <w:unhideWhenUsed/>
    <w:rsid w:val="00430423"/>
    <w:pPr>
      <w:ind w:leftChars="200" w:left="100" w:hangingChars="200" w:hanging="200"/>
      <w:contextualSpacing/>
    </w:pPr>
  </w:style>
  <w:style w:type="paragraph" w:styleId="List3">
    <w:name w:val="List 3"/>
    <w:basedOn w:val="Normal"/>
    <w:semiHidden/>
    <w:unhideWhenUsed/>
    <w:rsid w:val="00430423"/>
    <w:pPr>
      <w:ind w:leftChars="400" w:left="100" w:hangingChars="200" w:hanging="200"/>
      <w:contextualSpacing/>
    </w:pPr>
  </w:style>
  <w:style w:type="paragraph" w:customStyle="1" w:styleId="Comments">
    <w:name w:val="Comments"/>
    <w:basedOn w:val="Normal"/>
    <w:link w:val="CommentsChar"/>
    <w:qFormat/>
    <w:rsid w:val="00C544C2"/>
    <w:pPr>
      <w:overflowPunct/>
      <w:autoSpaceDE/>
      <w:autoSpaceDN/>
      <w:adjustRightInd/>
      <w:spacing w:before="40" w:after="0" w:line="240" w:lineRule="auto"/>
      <w:jc w:val="left"/>
      <w:textAlignment w:val="auto"/>
    </w:pPr>
    <w:rPr>
      <w:rFonts w:ascii="Arial" w:eastAsia="MS Mincho" w:hAnsi="Arial"/>
      <w:i/>
      <w:sz w:val="18"/>
      <w:szCs w:val="24"/>
      <w:lang w:val="en-GB" w:eastAsia="en-GB"/>
    </w:rPr>
  </w:style>
  <w:style w:type="character" w:customStyle="1" w:styleId="CommentsChar">
    <w:name w:val="Comments Char"/>
    <w:link w:val="Comments"/>
    <w:qFormat/>
    <w:rsid w:val="00C544C2"/>
    <w:rPr>
      <w:rFonts w:ascii="Arial" w:eastAsia="MS Mincho" w:hAnsi="Arial"/>
      <w:i/>
      <w:sz w:val="18"/>
      <w:szCs w:val="24"/>
      <w:lang w:val="en-GB" w:eastAsia="en-GB"/>
    </w:rPr>
  </w:style>
  <w:style w:type="character" w:customStyle="1" w:styleId="PLChar">
    <w:name w:val="PL Char"/>
    <w:link w:val="PL"/>
    <w:qFormat/>
    <w:locked/>
    <w:rsid w:val="00D56095"/>
    <w:rPr>
      <w:rFonts w:ascii="Courier New" w:eastAsia="Times New Roman" w:hAnsi="Courier New" w:cs="Courier New"/>
      <w:noProof/>
      <w:sz w:val="16"/>
    </w:rPr>
  </w:style>
  <w:style w:type="paragraph" w:customStyle="1" w:styleId="PL">
    <w:name w:val="PL"/>
    <w:link w:val="PLChar"/>
    <w:qFormat/>
    <w:rsid w:val="00D56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character" w:customStyle="1" w:styleId="B1Char">
    <w:name w:val="B1 Char"/>
    <w:basedOn w:val="DefaultParagraphFont"/>
    <w:rsid w:val="004573AC"/>
    <w:rPr>
      <w:lang w:val="en-GB" w:eastAsia="ja-JP" w:bidi="ar-SA"/>
    </w:rPr>
  </w:style>
  <w:style w:type="paragraph" w:customStyle="1" w:styleId="NO">
    <w:name w:val="NO"/>
    <w:basedOn w:val="Normal"/>
    <w:rsid w:val="00C256A3"/>
    <w:pPr>
      <w:keepLines/>
      <w:spacing w:line="240" w:lineRule="auto"/>
      <w:ind w:left="1135" w:hanging="851"/>
      <w:jc w:val="left"/>
    </w:pPr>
    <w:rPr>
      <w:rFonts w:eastAsiaTheme="minorEastAsia"/>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772347">
      <w:bodyDiv w:val="1"/>
      <w:marLeft w:val="0"/>
      <w:marRight w:val="0"/>
      <w:marTop w:val="0"/>
      <w:marBottom w:val="0"/>
      <w:divBdr>
        <w:top w:val="none" w:sz="0" w:space="0" w:color="auto"/>
        <w:left w:val="none" w:sz="0" w:space="0" w:color="auto"/>
        <w:bottom w:val="none" w:sz="0" w:space="0" w:color="auto"/>
        <w:right w:val="none" w:sz="0" w:space="0" w:color="auto"/>
      </w:divBdr>
    </w:div>
    <w:div w:id="221602320">
      <w:bodyDiv w:val="1"/>
      <w:marLeft w:val="0"/>
      <w:marRight w:val="0"/>
      <w:marTop w:val="0"/>
      <w:marBottom w:val="0"/>
      <w:divBdr>
        <w:top w:val="none" w:sz="0" w:space="0" w:color="auto"/>
        <w:left w:val="none" w:sz="0" w:space="0" w:color="auto"/>
        <w:bottom w:val="none" w:sz="0" w:space="0" w:color="auto"/>
        <w:right w:val="none" w:sz="0" w:space="0" w:color="auto"/>
      </w:divBdr>
    </w:div>
    <w:div w:id="230046989">
      <w:bodyDiv w:val="1"/>
      <w:marLeft w:val="0"/>
      <w:marRight w:val="0"/>
      <w:marTop w:val="0"/>
      <w:marBottom w:val="0"/>
      <w:divBdr>
        <w:top w:val="none" w:sz="0" w:space="0" w:color="auto"/>
        <w:left w:val="none" w:sz="0" w:space="0" w:color="auto"/>
        <w:bottom w:val="none" w:sz="0" w:space="0" w:color="auto"/>
        <w:right w:val="none" w:sz="0" w:space="0" w:color="auto"/>
      </w:divBdr>
    </w:div>
    <w:div w:id="341901971">
      <w:bodyDiv w:val="1"/>
      <w:marLeft w:val="0"/>
      <w:marRight w:val="0"/>
      <w:marTop w:val="0"/>
      <w:marBottom w:val="0"/>
      <w:divBdr>
        <w:top w:val="none" w:sz="0" w:space="0" w:color="auto"/>
        <w:left w:val="none" w:sz="0" w:space="0" w:color="auto"/>
        <w:bottom w:val="none" w:sz="0" w:space="0" w:color="auto"/>
        <w:right w:val="none" w:sz="0" w:space="0" w:color="auto"/>
      </w:divBdr>
    </w:div>
    <w:div w:id="514196108">
      <w:bodyDiv w:val="1"/>
      <w:marLeft w:val="0"/>
      <w:marRight w:val="0"/>
      <w:marTop w:val="0"/>
      <w:marBottom w:val="0"/>
      <w:divBdr>
        <w:top w:val="none" w:sz="0" w:space="0" w:color="auto"/>
        <w:left w:val="none" w:sz="0" w:space="0" w:color="auto"/>
        <w:bottom w:val="none" w:sz="0" w:space="0" w:color="auto"/>
        <w:right w:val="none" w:sz="0" w:space="0" w:color="auto"/>
      </w:divBdr>
    </w:div>
    <w:div w:id="674384011">
      <w:bodyDiv w:val="1"/>
      <w:marLeft w:val="0"/>
      <w:marRight w:val="0"/>
      <w:marTop w:val="0"/>
      <w:marBottom w:val="0"/>
      <w:divBdr>
        <w:top w:val="none" w:sz="0" w:space="0" w:color="auto"/>
        <w:left w:val="none" w:sz="0" w:space="0" w:color="auto"/>
        <w:bottom w:val="none" w:sz="0" w:space="0" w:color="auto"/>
        <w:right w:val="none" w:sz="0" w:space="0" w:color="auto"/>
      </w:divBdr>
    </w:div>
    <w:div w:id="678240878">
      <w:bodyDiv w:val="1"/>
      <w:marLeft w:val="0"/>
      <w:marRight w:val="0"/>
      <w:marTop w:val="0"/>
      <w:marBottom w:val="0"/>
      <w:divBdr>
        <w:top w:val="none" w:sz="0" w:space="0" w:color="auto"/>
        <w:left w:val="none" w:sz="0" w:space="0" w:color="auto"/>
        <w:bottom w:val="none" w:sz="0" w:space="0" w:color="auto"/>
        <w:right w:val="none" w:sz="0" w:space="0" w:color="auto"/>
      </w:divBdr>
    </w:div>
    <w:div w:id="686517001">
      <w:bodyDiv w:val="1"/>
      <w:marLeft w:val="0"/>
      <w:marRight w:val="0"/>
      <w:marTop w:val="0"/>
      <w:marBottom w:val="0"/>
      <w:divBdr>
        <w:top w:val="none" w:sz="0" w:space="0" w:color="auto"/>
        <w:left w:val="none" w:sz="0" w:space="0" w:color="auto"/>
        <w:bottom w:val="none" w:sz="0" w:space="0" w:color="auto"/>
        <w:right w:val="none" w:sz="0" w:space="0" w:color="auto"/>
      </w:divBdr>
    </w:div>
    <w:div w:id="735199260">
      <w:bodyDiv w:val="1"/>
      <w:marLeft w:val="0"/>
      <w:marRight w:val="0"/>
      <w:marTop w:val="0"/>
      <w:marBottom w:val="0"/>
      <w:divBdr>
        <w:top w:val="none" w:sz="0" w:space="0" w:color="auto"/>
        <w:left w:val="none" w:sz="0" w:space="0" w:color="auto"/>
        <w:bottom w:val="none" w:sz="0" w:space="0" w:color="auto"/>
        <w:right w:val="none" w:sz="0" w:space="0" w:color="auto"/>
      </w:divBdr>
    </w:div>
    <w:div w:id="821583977">
      <w:bodyDiv w:val="1"/>
      <w:marLeft w:val="0"/>
      <w:marRight w:val="0"/>
      <w:marTop w:val="0"/>
      <w:marBottom w:val="0"/>
      <w:divBdr>
        <w:top w:val="none" w:sz="0" w:space="0" w:color="auto"/>
        <w:left w:val="none" w:sz="0" w:space="0" w:color="auto"/>
        <w:bottom w:val="none" w:sz="0" w:space="0" w:color="auto"/>
        <w:right w:val="none" w:sz="0" w:space="0" w:color="auto"/>
      </w:divBdr>
      <w:divsChild>
        <w:div w:id="1692872725">
          <w:marLeft w:val="0"/>
          <w:marRight w:val="0"/>
          <w:marTop w:val="0"/>
          <w:marBottom w:val="0"/>
          <w:divBdr>
            <w:top w:val="none" w:sz="0" w:space="0" w:color="auto"/>
            <w:left w:val="none" w:sz="0" w:space="0" w:color="auto"/>
            <w:bottom w:val="none" w:sz="0" w:space="0" w:color="auto"/>
            <w:right w:val="none" w:sz="0" w:space="0" w:color="auto"/>
          </w:divBdr>
          <w:divsChild>
            <w:div w:id="1346664839">
              <w:marLeft w:val="0"/>
              <w:marRight w:val="0"/>
              <w:marTop w:val="0"/>
              <w:marBottom w:val="0"/>
              <w:divBdr>
                <w:top w:val="none" w:sz="0" w:space="0" w:color="auto"/>
                <w:left w:val="none" w:sz="0" w:space="0" w:color="auto"/>
                <w:bottom w:val="none" w:sz="0" w:space="0" w:color="auto"/>
                <w:right w:val="none" w:sz="0" w:space="0" w:color="auto"/>
              </w:divBdr>
              <w:divsChild>
                <w:div w:id="390467130">
                  <w:marLeft w:val="0"/>
                  <w:marRight w:val="0"/>
                  <w:marTop w:val="0"/>
                  <w:marBottom w:val="0"/>
                  <w:divBdr>
                    <w:top w:val="none" w:sz="0" w:space="0" w:color="auto"/>
                    <w:left w:val="none" w:sz="0" w:space="0" w:color="auto"/>
                    <w:bottom w:val="none" w:sz="0" w:space="0" w:color="auto"/>
                    <w:right w:val="none" w:sz="0" w:space="0" w:color="auto"/>
                  </w:divBdr>
                  <w:divsChild>
                    <w:div w:id="1750152033">
                      <w:marLeft w:val="0"/>
                      <w:marRight w:val="0"/>
                      <w:marTop w:val="0"/>
                      <w:marBottom w:val="0"/>
                      <w:divBdr>
                        <w:top w:val="none" w:sz="0" w:space="0" w:color="auto"/>
                        <w:left w:val="none" w:sz="0" w:space="0" w:color="auto"/>
                        <w:bottom w:val="none" w:sz="0" w:space="0" w:color="auto"/>
                        <w:right w:val="none" w:sz="0" w:space="0" w:color="auto"/>
                      </w:divBdr>
                      <w:divsChild>
                        <w:div w:id="912395481">
                          <w:marLeft w:val="0"/>
                          <w:marRight w:val="0"/>
                          <w:marTop w:val="0"/>
                          <w:marBottom w:val="0"/>
                          <w:divBdr>
                            <w:top w:val="none" w:sz="0" w:space="0" w:color="auto"/>
                            <w:left w:val="none" w:sz="0" w:space="0" w:color="auto"/>
                            <w:bottom w:val="none" w:sz="0" w:space="0" w:color="auto"/>
                            <w:right w:val="none" w:sz="0" w:space="0" w:color="auto"/>
                          </w:divBdr>
                          <w:divsChild>
                            <w:div w:id="176711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3034">
      <w:bodyDiv w:val="1"/>
      <w:marLeft w:val="0"/>
      <w:marRight w:val="0"/>
      <w:marTop w:val="0"/>
      <w:marBottom w:val="0"/>
      <w:divBdr>
        <w:top w:val="none" w:sz="0" w:space="0" w:color="auto"/>
        <w:left w:val="none" w:sz="0" w:space="0" w:color="auto"/>
        <w:bottom w:val="none" w:sz="0" w:space="0" w:color="auto"/>
        <w:right w:val="none" w:sz="0" w:space="0" w:color="auto"/>
      </w:divBdr>
    </w:div>
    <w:div w:id="937911293">
      <w:bodyDiv w:val="1"/>
      <w:marLeft w:val="0"/>
      <w:marRight w:val="0"/>
      <w:marTop w:val="0"/>
      <w:marBottom w:val="0"/>
      <w:divBdr>
        <w:top w:val="none" w:sz="0" w:space="0" w:color="auto"/>
        <w:left w:val="none" w:sz="0" w:space="0" w:color="auto"/>
        <w:bottom w:val="none" w:sz="0" w:space="0" w:color="auto"/>
        <w:right w:val="none" w:sz="0" w:space="0" w:color="auto"/>
      </w:divBdr>
      <w:divsChild>
        <w:div w:id="550306023">
          <w:marLeft w:val="0"/>
          <w:marRight w:val="0"/>
          <w:marTop w:val="0"/>
          <w:marBottom w:val="0"/>
          <w:divBdr>
            <w:top w:val="none" w:sz="0" w:space="0" w:color="auto"/>
            <w:left w:val="none" w:sz="0" w:space="0" w:color="auto"/>
            <w:bottom w:val="none" w:sz="0" w:space="0" w:color="auto"/>
            <w:right w:val="none" w:sz="0" w:space="0" w:color="auto"/>
          </w:divBdr>
          <w:divsChild>
            <w:div w:id="157814439">
              <w:marLeft w:val="0"/>
              <w:marRight w:val="0"/>
              <w:marTop w:val="0"/>
              <w:marBottom w:val="0"/>
              <w:divBdr>
                <w:top w:val="none" w:sz="0" w:space="0" w:color="auto"/>
                <w:left w:val="none" w:sz="0" w:space="0" w:color="auto"/>
                <w:bottom w:val="none" w:sz="0" w:space="0" w:color="auto"/>
                <w:right w:val="none" w:sz="0" w:space="0" w:color="auto"/>
              </w:divBdr>
              <w:divsChild>
                <w:div w:id="1831403523">
                  <w:marLeft w:val="0"/>
                  <w:marRight w:val="0"/>
                  <w:marTop w:val="0"/>
                  <w:marBottom w:val="0"/>
                  <w:divBdr>
                    <w:top w:val="none" w:sz="0" w:space="0" w:color="auto"/>
                    <w:left w:val="none" w:sz="0" w:space="0" w:color="auto"/>
                    <w:bottom w:val="none" w:sz="0" w:space="0" w:color="auto"/>
                    <w:right w:val="none" w:sz="0" w:space="0" w:color="auto"/>
                  </w:divBdr>
                  <w:divsChild>
                    <w:div w:id="2036955154">
                      <w:marLeft w:val="0"/>
                      <w:marRight w:val="0"/>
                      <w:marTop w:val="0"/>
                      <w:marBottom w:val="0"/>
                      <w:divBdr>
                        <w:top w:val="none" w:sz="0" w:space="0" w:color="auto"/>
                        <w:left w:val="none" w:sz="0" w:space="0" w:color="auto"/>
                        <w:bottom w:val="none" w:sz="0" w:space="0" w:color="auto"/>
                        <w:right w:val="none" w:sz="0" w:space="0" w:color="auto"/>
                      </w:divBdr>
                      <w:divsChild>
                        <w:div w:id="1984577010">
                          <w:marLeft w:val="0"/>
                          <w:marRight w:val="0"/>
                          <w:marTop w:val="0"/>
                          <w:marBottom w:val="0"/>
                          <w:divBdr>
                            <w:top w:val="none" w:sz="0" w:space="0" w:color="auto"/>
                            <w:left w:val="none" w:sz="0" w:space="0" w:color="auto"/>
                            <w:bottom w:val="none" w:sz="0" w:space="0" w:color="auto"/>
                            <w:right w:val="none" w:sz="0" w:space="0" w:color="auto"/>
                          </w:divBdr>
                          <w:divsChild>
                            <w:div w:id="120929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298756500">
      <w:bodyDiv w:val="1"/>
      <w:marLeft w:val="0"/>
      <w:marRight w:val="0"/>
      <w:marTop w:val="0"/>
      <w:marBottom w:val="0"/>
      <w:divBdr>
        <w:top w:val="none" w:sz="0" w:space="0" w:color="auto"/>
        <w:left w:val="none" w:sz="0" w:space="0" w:color="auto"/>
        <w:bottom w:val="none" w:sz="0" w:space="0" w:color="auto"/>
        <w:right w:val="none" w:sz="0" w:space="0" w:color="auto"/>
      </w:divBdr>
    </w:div>
    <w:div w:id="1381436530">
      <w:bodyDiv w:val="1"/>
      <w:marLeft w:val="0"/>
      <w:marRight w:val="0"/>
      <w:marTop w:val="0"/>
      <w:marBottom w:val="0"/>
      <w:divBdr>
        <w:top w:val="none" w:sz="0" w:space="0" w:color="auto"/>
        <w:left w:val="none" w:sz="0" w:space="0" w:color="auto"/>
        <w:bottom w:val="none" w:sz="0" w:space="0" w:color="auto"/>
        <w:right w:val="none" w:sz="0" w:space="0" w:color="auto"/>
      </w:divBdr>
      <w:divsChild>
        <w:div w:id="1580599302">
          <w:marLeft w:val="0"/>
          <w:marRight w:val="0"/>
          <w:marTop w:val="0"/>
          <w:marBottom w:val="0"/>
          <w:divBdr>
            <w:top w:val="none" w:sz="0" w:space="0" w:color="auto"/>
            <w:left w:val="none" w:sz="0" w:space="0" w:color="auto"/>
            <w:bottom w:val="none" w:sz="0" w:space="0" w:color="auto"/>
            <w:right w:val="none" w:sz="0" w:space="0" w:color="auto"/>
          </w:divBdr>
          <w:divsChild>
            <w:div w:id="1357198949">
              <w:marLeft w:val="0"/>
              <w:marRight w:val="0"/>
              <w:marTop w:val="0"/>
              <w:marBottom w:val="0"/>
              <w:divBdr>
                <w:top w:val="none" w:sz="0" w:space="0" w:color="auto"/>
                <w:left w:val="none" w:sz="0" w:space="0" w:color="auto"/>
                <w:bottom w:val="none" w:sz="0" w:space="0" w:color="auto"/>
                <w:right w:val="none" w:sz="0" w:space="0" w:color="auto"/>
              </w:divBdr>
              <w:divsChild>
                <w:div w:id="1008866658">
                  <w:marLeft w:val="0"/>
                  <w:marRight w:val="0"/>
                  <w:marTop w:val="0"/>
                  <w:marBottom w:val="0"/>
                  <w:divBdr>
                    <w:top w:val="none" w:sz="0" w:space="0" w:color="auto"/>
                    <w:left w:val="none" w:sz="0" w:space="0" w:color="auto"/>
                    <w:bottom w:val="none" w:sz="0" w:space="0" w:color="auto"/>
                    <w:right w:val="none" w:sz="0" w:space="0" w:color="auto"/>
                  </w:divBdr>
                  <w:divsChild>
                    <w:div w:id="761607533">
                      <w:marLeft w:val="0"/>
                      <w:marRight w:val="0"/>
                      <w:marTop w:val="0"/>
                      <w:marBottom w:val="0"/>
                      <w:divBdr>
                        <w:top w:val="none" w:sz="0" w:space="0" w:color="auto"/>
                        <w:left w:val="none" w:sz="0" w:space="0" w:color="auto"/>
                        <w:bottom w:val="none" w:sz="0" w:space="0" w:color="auto"/>
                        <w:right w:val="none" w:sz="0" w:space="0" w:color="auto"/>
                      </w:divBdr>
                      <w:divsChild>
                        <w:div w:id="2124877586">
                          <w:marLeft w:val="0"/>
                          <w:marRight w:val="0"/>
                          <w:marTop w:val="0"/>
                          <w:marBottom w:val="0"/>
                          <w:divBdr>
                            <w:top w:val="none" w:sz="0" w:space="0" w:color="auto"/>
                            <w:left w:val="none" w:sz="0" w:space="0" w:color="auto"/>
                            <w:bottom w:val="none" w:sz="0" w:space="0" w:color="auto"/>
                            <w:right w:val="none" w:sz="0" w:space="0" w:color="auto"/>
                          </w:divBdr>
                          <w:divsChild>
                            <w:div w:id="187488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6478658">
      <w:bodyDiv w:val="1"/>
      <w:marLeft w:val="0"/>
      <w:marRight w:val="0"/>
      <w:marTop w:val="0"/>
      <w:marBottom w:val="0"/>
      <w:divBdr>
        <w:top w:val="none" w:sz="0" w:space="0" w:color="auto"/>
        <w:left w:val="none" w:sz="0" w:space="0" w:color="auto"/>
        <w:bottom w:val="none" w:sz="0" w:space="0" w:color="auto"/>
        <w:right w:val="none" w:sz="0" w:space="0" w:color="auto"/>
      </w:divBdr>
    </w:div>
    <w:div w:id="1508404415">
      <w:bodyDiv w:val="1"/>
      <w:marLeft w:val="0"/>
      <w:marRight w:val="0"/>
      <w:marTop w:val="0"/>
      <w:marBottom w:val="0"/>
      <w:divBdr>
        <w:top w:val="none" w:sz="0" w:space="0" w:color="auto"/>
        <w:left w:val="none" w:sz="0" w:space="0" w:color="auto"/>
        <w:bottom w:val="none" w:sz="0" w:space="0" w:color="auto"/>
        <w:right w:val="none" w:sz="0" w:space="0" w:color="auto"/>
      </w:divBdr>
    </w:div>
    <w:div w:id="1520771771">
      <w:bodyDiv w:val="1"/>
      <w:marLeft w:val="0"/>
      <w:marRight w:val="0"/>
      <w:marTop w:val="0"/>
      <w:marBottom w:val="0"/>
      <w:divBdr>
        <w:top w:val="none" w:sz="0" w:space="0" w:color="auto"/>
        <w:left w:val="none" w:sz="0" w:space="0" w:color="auto"/>
        <w:bottom w:val="none" w:sz="0" w:space="0" w:color="auto"/>
        <w:right w:val="none" w:sz="0" w:space="0" w:color="auto"/>
      </w:divBdr>
    </w:div>
    <w:div w:id="1655841959">
      <w:bodyDiv w:val="1"/>
      <w:marLeft w:val="0"/>
      <w:marRight w:val="0"/>
      <w:marTop w:val="0"/>
      <w:marBottom w:val="0"/>
      <w:divBdr>
        <w:top w:val="none" w:sz="0" w:space="0" w:color="auto"/>
        <w:left w:val="none" w:sz="0" w:space="0" w:color="auto"/>
        <w:bottom w:val="none" w:sz="0" w:space="0" w:color="auto"/>
        <w:right w:val="none" w:sz="0" w:space="0" w:color="auto"/>
      </w:divBdr>
    </w:div>
    <w:div w:id="1850096118">
      <w:bodyDiv w:val="1"/>
      <w:marLeft w:val="0"/>
      <w:marRight w:val="0"/>
      <w:marTop w:val="0"/>
      <w:marBottom w:val="0"/>
      <w:divBdr>
        <w:top w:val="none" w:sz="0" w:space="0" w:color="auto"/>
        <w:left w:val="none" w:sz="0" w:space="0" w:color="auto"/>
        <w:bottom w:val="none" w:sz="0" w:space="0" w:color="auto"/>
        <w:right w:val="none" w:sz="0" w:space="0" w:color="auto"/>
      </w:divBdr>
    </w:div>
    <w:div w:id="1981350084">
      <w:bodyDiv w:val="1"/>
      <w:marLeft w:val="0"/>
      <w:marRight w:val="0"/>
      <w:marTop w:val="0"/>
      <w:marBottom w:val="0"/>
      <w:divBdr>
        <w:top w:val="none" w:sz="0" w:space="0" w:color="auto"/>
        <w:left w:val="none" w:sz="0" w:space="0" w:color="auto"/>
        <w:bottom w:val="none" w:sz="0" w:space="0" w:color="auto"/>
        <w:right w:val="none" w:sz="0" w:space="0" w:color="auto"/>
      </w:divBdr>
    </w:div>
    <w:div w:id="2004234705">
      <w:bodyDiv w:val="1"/>
      <w:marLeft w:val="0"/>
      <w:marRight w:val="0"/>
      <w:marTop w:val="0"/>
      <w:marBottom w:val="0"/>
      <w:divBdr>
        <w:top w:val="none" w:sz="0" w:space="0" w:color="auto"/>
        <w:left w:val="none" w:sz="0" w:space="0" w:color="auto"/>
        <w:bottom w:val="none" w:sz="0" w:space="0" w:color="auto"/>
        <w:right w:val="none" w:sz="0" w:space="0" w:color="auto"/>
      </w:divBdr>
    </w:div>
    <w:div w:id="2061902112">
      <w:bodyDiv w:val="1"/>
      <w:marLeft w:val="0"/>
      <w:marRight w:val="0"/>
      <w:marTop w:val="0"/>
      <w:marBottom w:val="0"/>
      <w:divBdr>
        <w:top w:val="none" w:sz="0" w:space="0" w:color="auto"/>
        <w:left w:val="none" w:sz="0" w:space="0" w:color="auto"/>
        <w:bottom w:val="none" w:sz="0" w:space="0" w:color="auto"/>
        <w:right w:val="none" w:sz="0" w:space="0" w:color="auto"/>
      </w:divBdr>
    </w:div>
    <w:div w:id="2069649273">
      <w:bodyDiv w:val="1"/>
      <w:marLeft w:val="0"/>
      <w:marRight w:val="0"/>
      <w:marTop w:val="0"/>
      <w:marBottom w:val="0"/>
      <w:divBdr>
        <w:top w:val="none" w:sz="0" w:space="0" w:color="auto"/>
        <w:left w:val="none" w:sz="0" w:space="0" w:color="auto"/>
        <w:bottom w:val="none" w:sz="0" w:space="0" w:color="auto"/>
        <w:right w:val="none" w:sz="0" w:space="0" w:color="auto"/>
      </w:divBdr>
    </w:div>
    <w:div w:id="2071266628">
      <w:bodyDiv w:val="1"/>
      <w:marLeft w:val="0"/>
      <w:marRight w:val="0"/>
      <w:marTop w:val="0"/>
      <w:marBottom w:val="0"/>
      <w:divBdr>
        <w:top w:val="none" w:sz="0" w:space="0" w:color="auto"/>
        <w:left w:val="none" w:sz="0" w:space="0" w:color="auto"/>
        <w:bottom w:val="none" w:sz="0" w:space="0" w:color="auto"/>
        <w:right w:val="none" w:sz="0" w:space="0" w:color="auto"/>
      </w:divBdr>
    </w:div>
    <w:div w:id="2074040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3.png@01DB98F1.0A43FE10"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42650-EFEC-443F-AA43-366437346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23</TotalTime>
  <Pages>3</Pages>
  <Words>659</Words>
  <Characters>3760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 (Marcin)</cp:lastModifiedBy>
  <cp:revision>11</cp:revision>
  <dcterms:created xsi:type="dcterms:W3CDTF">2025-03-27T09:50:00Z</dcterms:created>
  <dcterms:modified xsi:type="dcterms:W3CDTF">2025-03-28T07:43:00Z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(3)5dzIImFkgH8K+az04uJkprVF9vyKG6wngjeFLSzy0dCFMvkFzA6jBw5UgwUyu/zFzUrbXiWb
rizd/cK05V4sROXenkwIJkFYM76X56pCCHf+Q/1p3SjLB0OUbW9w9u+HQVZHIh0yLLuHf9nX
6q5icGgNiwJo0OaxlpU9003jvw2qxKbBK8hRWyK6QbzaJ8/mfFlxdzi8RigwGytAa5NUI3Av
RZgMitImfiXhDsJy0Y</vt:lpwstr>
  </property>
  <property fmtid="{D5CDD505-2E9C-101B-9397-08002B2CF9AE}" pid="7" name="_2015_ms_pID_7253431">
    <vt:lpwstr>m0agd1KTNP8It/gMbcsN5jrvSkW9qlKqCaBuWmnKZ3yp0qA0dUb9Sm
eNJXhCYK8SaV6c9EOdDiOKD1fB6G/Ky4gbEk/onpnv5qvW4kgEMtJ7u8+ZEUoYbX/Fgb1s+m
h25YoZVhn8ASIOHA8MINeN9gI+zoTfGHhXEzluqIQZKGOietaIFWtS9/QVH316VeXHM7nl9a
y/sNpaELQApE4LS2ySFnldgr/Rw36NxC/czZ</vt:lpwstr>
  </property>
  <property fmtid="{D5CDD505-2E9C-101B-9397-08002B2CF9AE}" pid="8" name="_2015_ms_pID_7253432">
    <vt:lpwstr>Vg==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1740447879</vt:lpwstr>
  </property>
</Properties>
</file>